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477D8" w14:textId="77777777" w:rsidR="00E46DFF" w:rsidRPr="00293DDC" w:rsidRDefault="00E46DFF" w:rsidP="00293DDC">
      <w:pPr>
        <w:spacing w:line="560" w:lineRule="exact"/>
        <w:jc w:val="center"/>
        <w:rPr>
          <w:rFonts w:ascii="方正小标宋简体" w:eastAsia="方正小标宋简体" w:hAnsi="Arial" w:cs="Arial" w:hint="eastAsia"/>
          <w:bCs/>
          <w:color w:val="363636"/>
          <w:sz w:val="44"/>
          <w:szCs w:val="44"/>
        </w:rPr>
      </w:pPr>
      <w:r w:rsidRPr="00293DDC">
        <w:rPr>
          <w:rFonts w:ascii="方正小标宋简体" w:eastAsia="方正小标宋简体" w:hAnsi="Arial" w:cs="Arial" w:hint="eastAsia"/>
          <w:bCs/>
          <w:color w:val="363636"/>
          <w:sz w:val="44"/>
          <w:szCs w:val="44"/>
        </w:rPr>
        <w:t>中国人民大学201</w:t>
      </w:r>
      <w:r w:rsidR="00D93D38" w:rsidRPr="00293DDC">
        <w:rPr>
          <w:rFonts w:ascii="方正小标宋简体" w:eastAsia="方正小标宋简体" w:hAnsi="Arial" w:cs="Arial" w:hint="eastAsia"/>
          <w:bCs/>
          <w:color w:val="363636"/>
          <w:sz w:val="44"/>
          <w:szCs w:val="44"/>
        </w:rPr>
        <w:t>9</w:t>
      </w:r>
      <w:r w:rsidRPr="00293DDC">
        <w:rPr>
          <w:rFonts w:ascii="方正小标宋简体" w:eastAsia="方正小标宋简体" w:hAnsi="Arial" w:cs="Arial" w:hint="eastAsia"/>
          <w:bCs/>
          <w:color w:val="363636"/>
          <w:sz w:val="44"/>
          <w:szCs w:val="44"/>
        </w:rPr>
        <w:t>年度企业财务会计决算</w:t>
      </w:r>
    </w:p>
    <w:p w14:paraId="69F697F3" w14:textId="77777777" w:rsidR="00E46DFF" w:rsidRPr="00293DDC" w:rsidRDefault="00E46DFF" w:rsidP="00293DDC">
      <w:pPr>
        <w:spacing w:line="560" w:lineRule="exact"/>
        <w:jc w:val="center"/>
        <w:rPr>
          <w:rFonts w:ascii="方正小标宋简体" w:eastAsia="方正小标宋简体" w:hAnsi="Arial" w:cs="Arial" w:hint="eastAsia"/>
          <w:bCs/>
          <w:color w:val="363636"/>
          <w:sz w:val="44"/>
          <w:szCs w:val="44"/>
        </w:rPr>
      </w:pPr>
      <w:r w:rsidRPr="00293DDC">
        <w:rPr>
          <w:rFonts w:ascii="方正小标宋简体" w:eastAsia="方正小标宋简体" w:hAnsi="Arial" w:cs="Arial" w:hint="eastAsia"/>
          <w:bCs/>
          <w:color w:val="363636"/>
          <w:sz w:val="44"/>
          <w:szCs w:val="44"/>
        </w:rPr>
        <w:t>工作总结</w:t>
      </w:r>
    </w:p>
    <w:p w14:paraId="34302736" w14:textId="77777777" w:rsidR="00E46DFF" w:rsidRDefault="00E46DFF" w:rsidP="00293DDC">
      <w:pPr>
        <w:spacing w:line="560" w:lineRule="exact"/>
        <w:rPr>
          <w:rFonts w:ascii="仿宋_GB2312" w:eastAsia="仿宋_GB2312" w:hAnsi="宋体" w:cs="Times New Roman"/>
          <w:kern w:val="0"/>
          <w:sz w:val="28"/>
          <w:szCs w:val="28"/>
        </w:rPr>
      </w:pPr>
    </w:p>
    <w:p w14:paraId="365D059B" w14:textId="77777777" w:rsidR="00E46DFF" w:rsidRPr="00293DDC" w:rsidRDefault="00E46DFF" w:rsidP="00293DDC">
      <w:pPr>
        <w:spacing w:line="560" w:lineRule="exact"/>
        <w:ind w:firstLineChars="200" w:firstLine="640"/>
        <w:rPr>
          <w:rFonts w:ascii="仿宋" w:eastAsia="仿宋" w:hAnsi="仿宋" w:cs="Times New Roman"/>
          <w:sz w:val="32"/>
          <w:szCs w:val="32"/>
        </w:rPr>
      </w:pPr>
      <w:r w:rsidRPr="00293DDC">
        <w:rPr>
          <w:rFonts w:ascii="仿宋" w:eastAsia="仿宋" w:hAnsi="仿宋" w:cs="Times New Roman" w:hint="eastAsia"/>
          <w:sz w:val="32"/>
          <w:szCs w:val="32"/>
        </w:rPr>
        <w:t>根据教育部</w:t>
      </w:r>
      <w:r w:rsidR="00D93D38" w:rsidRPr="00293DDC">
        <w:rPr>
          <w:rFonts w:ascii="仿宋" w:eastAsia="仿宋" w:hAnsi="仿宋" w:cs="Times New Roman" w:hint="eastAsia"/>
          <w:sz w:val="32"/>
          <w:szCs w:val="32"/>
        </w:rPr>
        <w:t>《关于做好2019年度企业财务会计决算报告工作的通知》（</w:t>
      </w:r>
      <w:proofErr w:type="gramStart"/>
      <w:r w:rsidR="00D93D38" w:rsidRPr="00293DDC">
        <w:rPr>
          <w:rFonts w:ascii="仿宋" w:eastAsia="仿宋" w:hAnsi="仿宋" w:cs="Times New Roman" w:hint="eastAsia"/>
          <w:sz w:val="32"/>
          <w:szCs w:val="32"/>
        </w:rPr>
        <w:t>教财司函</w:t>
      </w:r>
      <w:proofErr w:type="gramEnd"/>
      <w:r w:rsidR="00D93D38" w:rsidRPr="00293DDC">
        <w:rPr>
          <w:rFonts w:ascii="仿宋" w:eastAsia="仿宋" w:hAnsi="仿宋" w:cs="Times New Roman" w:hint="eastAsia"/>
          <w:sz w:val="32"/>
          <w:szCs w:val="32"/>
        </w:rPr>
        <w:t>〔2020〕19号）</w:t>
      </w:r>
      <w:r w:rsidRPr="00293DDC">
        <w:rPr>
          <w:rFonts w:ascii="仿宋" w:eastAsia="仿宋" w:hAnsi="仿宋" w:cs="Times New Roman" w:hint="eastAsia"/>
          <w:sz w:val="32"/>
          <w:szCs w:val="32"/>
        </w:rPr>
        <w:t>要求，我校认真组织了201</w:t>
      </w:r>
      <w:r w:rsidR="00D93D38" w:rsidRPr="00293DDC">
        <w:rPr>
          <w:rFonts w:ascii="仿宋" w:eastAsia="仿宋" w:hAnsi="仿宋" w:cs="Times New Roman" w:hint="eastAsia"/>
          <w:sz w:val="32"/>
          <w:szCs w:val="32"/>
        </w:rPr>
        <w:t>9</w:t>
      </w:r>
      <w:r w:rsidRPr="00293DDC">
        <w:rPr>
          <w:rFonts w:ascii="仿宋" w:eastAsia="仿宋" w:hAnsi="仿宋" w:cs="Times New Roman" w:hint="eastAsia"/>
          <w:sz w:val="32"/>
          <w:szCs w:val="32"/>
        </w:rPr>
        <w:t>年企业财务会计决算的编报工作，现将有关情况总结如下：</w:t>
      </w:r>
    </w:p>
    <w:p w14:paraId="29ACCD9F" w14:textId="77777777" w:rsidR="00E46DFF" w:rsidRPr="00293DDC" w:rsidRDefault="00E46DFF" w:rsidP="00293DDC">
      <w:pPr>
        <w:spacing w:line="560" w:lineRule="exact"/>
        <w:ind w:firstLineChars="200" w:firstLine="640"/>
        <w:rPr>
          <w:rFonts w:ascii="黑体" w:eastAsia="黑体" w:hAnsi="黑体" w:cs="Times New Roman"/>
          <w:bCs/>
          <w:sz w:val="32"/>
          <w:szCs w:val="32"/>
        </w:rPr>
      </w:pPr>
      <w:r w:rsidRPr="00293DDC">
        <w:rPr>
          <w:rFonts w:ascii="黑体" w:eastAsia="黑体" w:hAnsi="黑体" w:cs="Times New Roman" w:hint="eastAsia"/>
          <w:bCs/>
          <w:sz w:val="32"/>
          <w:szCs w:val="32"/>
        </w:rPr>
        <w:t>一、</w:t>
      </w:r>
      <w:r w:rsidR="00B82764" w:rsidRPr="00293DDC">
        <w:rPr>
          <w:rFonts w:ascii="黑体" w:eastAsia="黑体" w:hAnsi="黑体" w:cs="Times New Roman" w:hint="eastAsia"/>
          <w:bCs/>
          <w:sz w:val="32"/>
          <w:szCs w:val="32"/>
        </w:rPr>
        <w:t>决算工作中采取的措施</w:t>
      </w:r>
    </w:p>
    <w:p w14:paraId="65591D15" w14:textId="77777777" w:rsidR="00B82764" w:rsidRPr="00293DDC" w:rsidRDefault="00B82764" w:rsidP="00293DDC">
      <w:pPr>
        <w:spacing w:line="560" w:lineRule="exact"/>
        <w:ind w:firstLineChars="200" w:firstLine="643"/>
        <w:rPr>
          <w:rFonts w:ascii="仿宋" w:eastAsia="仿宋" w:hAnsi="仿宋" w:cs="Times New Roman"/>
          <w:b/>
          <w:bCs/>
          <w:sz w:val="32"/>
          <w:szCs w:val="32"/>
        </w:rPr>
      </w:pPr>
      <w:r w:rsidRPr="00293DDC">
        <w:rPr>
          <w:rFonts w:ascii="仿宋" w:eastAsia="仿宋" w:hAnsi="仿宋" w:cs="Times New Roman" w:hint="eastAsia"/>
          <w:b/>
          <w:bCs/>
          <w:sz w:val="32"/>
          <w:szCs w:val="32"/>
        </w:rPr>
        <w:t>1、全面梳理</w:t>
      </w:r>
      <w:r w:rsidR="00D93D38" w:rsidRPr="00293DDC">
        <w:rPr>
          <w:rFonts w:ascii="仿宋" w:eastAsia="仿宋" w:hAnsi="仿宋" w:cs="Times New Roman" w:hint="eastAsia"/>
          <w:b/>
          <w:bCs/>
          <w:sz w:val="32"/>
          <w:szCs w:val="32"/>
        </w:rPr>
        <w:t>,</w:t>
      </w:r>
      <w:r w:rsidRPr="00293DDC">
        <w:rPr>
          <w:rFonts w:ascii="仿宋" w:eastAsia="仿宋" w:hAnsi="仿宋" w:cs="Times New Roman" w:hint="eastAsia"/>
          <w:b/>
          <w:bCs/>
          <w:sz w:val="32"/>
          <w:szCs w:val="32"/>
        </w:rPr>
        <w:t>确定</w:t>
      </w:r>
      <w:r w:rsidR="00D93D38" w:rsidRPr="00293DDC">
        <w:rPr>
          <w:rFonts w:ascii="仿宋" w:eastAsia="仿宋" w:hAnsi="仿宋" w:cs="Times New Roman" w:hint="eastAsia"/>
          <w:b/>
          <w:bCs/>
          <w:sz w:val="32"/>
          <w:szCs w:val="32"/>
        </w:rPr>
        <w:t>企业</w:t>
      </w:r>
      <w:r w:rsidRPr="00293DDC">
        <w:rPr>
          <w:rFonts w:ascii="仿宋" w:eastAsia="仿宋" w:hAnsi="仿宋" w:cs="Times New Roman" w:hint="eastAsia"/>
          <w:b/>
          <w:bCs/>
          <w:sz w:val="32"/>
          <w:szCs w:val="32"/>
        </w:rPr>
        <w:t>上报范围</w:t>
      </w:r>
    </w:p>
    <w:p w14:paraId="26BDA40B" w14:textId="77777777" w:rsidR="0060050D" w:rsidRPr="00293DDC" w:rsidRDefault="00B82764" w:rsidP="00293DDC">
      <w:pPr>
        <w:spacing w:line="560" w:lineRule="exact"/>
        <w:ind w:firstLineChars="200" w:firstLine="640"/>
        <w:rPr>
          <w:rFonts w:ascii="仿宋" w:eastAsia="仿宋" w:hAnsi="仿宋" w:cs="Times New Roman"/>
          <w:sz w:val="32"/>
          <w:szCs w:val="32"/>
        </w:rPr>
      </w:pPr>
      <w:r w:rsidRPr="00293DDC">
        <w:rPr>
          <w:rFonts w:ascii="仿宋" w:eastAsia="仿宋" w:hAnsi="仿宋" w:cs="Times New Roman" w:hint="eastAsia"/>
          <w:sz w:val="32"/>
          <w:szCs w:val="32"/>
        </w:rPr>
        <w:t>我校首先对纳入学校企业合并范围的企业进行梳理，经核查，</w:t>
      </w:r>
      <w:r w:rsidR="00E46DFF" w:rsidRPr="00293DDC">
        <w:rPr>
          <w:rFonts w:ascii="仿宋" w:eastAsia="仿宋" w:hAnsi="仿宋" w:cs="Times New Roman" w:hint="eastAsia"/>
          <w:sz w:val="32"/>
          <w:szCs w:val="32"/>
        </w:rPr>
        <w:t>201</w:t>
      </w:r>
      <w:r w:rsidR="00392086" w:rsidRPr="00293DDC">
        <w:rPr>
          <w:rFonts w:ascii="仿宋" w:eastAsia="仿宋" w:hAnsi="仿宋" w:cs="Times New Roman" w:hint="eastAsia"/>
          <w:sz w:val="32"/>
          <w:szCs w:val="32"/>
        </w:rPr>
        <w:t>9</w:t>
      </w:r>
      <w:r w:rsidR="00E46DFF" w:rsidRPr="00293DDC">
        <w:rPr>
          <w:rFonts w:ascii="仿宋" w:eastAsia="仿宋" w:hAnsi="仿宋" w:cs="Times New Roman" w:hint="eastAsia"/>
          <w:sz w:val="32"/>
          <w:szCs w:val="32"/>
        </w:rPr>
        <w:t>年我校纳入企业财务会计决算报表编制范围的企业共1</w:t>
      </w:r>
      <w:r w:rsidR="00392086" w:rsidRPr="00293DDC">
        <w:rPr>
          <w:rFonts w:ascii="仿宋" w:eastAsia="仿宋" w:hAnsi="仿宋" w:cs="Times New Roman" w:hint="eastAsia"/>
          <w:sz w:val="32"/>
          <w:szCs w:val="32"/>
        </w:rPr>
        <w:t>3</w:t>
      </w:r>
      <w:r w:rsidR="00E46DFF" w:rsidRPr="00293DDC">
        <w:rPr>
          <w:rFonts w:ascii="仿宋" w:eastAsia="仿宋" w:hAnsi="仿宋" w:cs="Times New Roman" w:hint="eastAsia"/>
          <w:sz w:val="32"/>
          <w:szCs w:val="32"/>
        </w:rPr>
        <w:t>家，比上年减少1家，减少的企业</w:t>
      </w:r>
      <w:r w:rsidR="00392086" w:rsidRPr="00293DDC">
        <w:rPr>
          <w:rFonts w:ascii="仿宋" w:eastAsia="仿宋" w:hAnsi="仿宋" w:cs="Times New Roman" w:hint="eastAsia"/>
          <w:sz w:val="32"/>
          <w:szCs w:val="32"/>
        </w:rPr>
        <w:t>为中国人民大学书报资料中心二级全资子公司北京市仁达书报资料咨询服务公司，该公司已于2019年7月注销。</w:t>
      </w:r>
      <w:r w:rsidR="0060050D" w:rsidRPr="00293DDC">
        <w:rPr>
          <w:rFonts w:ascii="仿宋" w:eastAsia="仿宋" w:hAnsi="仿宋" w:cs="Times New Roman" w:hint="eastAsia"/>
          <w:sz w:val="32"/>
          <w:szCs w:val="32"/>
        </w:rPr>
        <w:t>。</w:t>
      </w:r>
    </w:p>
    <w:p w14:paraId="544B05AC" w14:textId="77777777" w:rsidR="0060050D" w:rsidRPr="00293DDC" w:rsidRDefault="0060050D" w:rsidP="0060050D">
      <w:pPr>
        <w:ind w:firstLine="645"/>
        <w:rPr>
          <w:rFonts w:ascii="仿宋" w:eastAsia="仿宋" w:hAnsi="仿宋" w:cs="Times New Roman"/>
          <w:b/>
          <w:bCs/>
          <w:sz w:val="32"/>
          <w:szCs w:val="32"/>
        </w:rPr>
      </w:pPr>
      <w:r w:rsidRPr="00293DDC">
        <w:rPr>
          <w:rFonts w:ascii="仿宋" w:eastAsia="仿宋" w:hAnsi="仿宋" w:cs="Times New Roman" w:hint="eastAsia"/>
          <w:b/>
          <w:bCs/>
          <w:sz w:val="32"/>
          <w:szCs w:val="32"/>
        </w:rPr>
        <w:t>1</w:t>
      </w:r>
      <w:r w:rsidR="00D93D38" w:rsidRPr="00293DDC">
        <w:rPr>
          <w:rFonts w:ascii="仿宋" w:eastAsia="仿宋" w:hAnsi="仿宋" w:cs="Times New Roman" w:hint="eastAsia"/>
          <w:b/>
          <w:bCs/>
          <w:sz w:val="32"/>
          <w:szCs w:val="32"/>
        </w:rPr>
        <w:t>3</w:t>
      </w:r>
      <w:r w:rsidRPr="00293DDC">
        <w:rPr>
          <w:rFonts w:ascii="仿宋" w:eastAsia="仿宋" w:hAnsi="仿宋" w:cs="Times New Roman" w:hint="eastAsia"/>
          <w:b/>
          <w:bCs/>
          <w:sz w:val="32"/>
          <w:szCs w:val="32"/>
        </w:rPr>
        <w:t>家企业分别是：</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410"/>
        <w:gridCol w:w="2410"/>
        <w:gridCol w:w="1984"/>
      </w:tblGrid>
      <w:tr w:rsidR="0060050D" w:rsidRPr="006B15B6" w14:paraId="67632BCE" w14:textId="77777777" w:rsidTr="00911600">
        <w:tc>
          <w:tcPr>
            <w:tcW w:w="2126" w:type="dxa"/>
            <w:vAlign w:val="center"/>
          </w:tcPr>
          <w:p w14:paraId="5D2582DB" w14:textId="77777777" w:rsidR="0060050D" w:rsidRPr="006B15B6" w:rsidRDefault="0060050D" w:rsidP="00911600">
            <w:pPr>
              <w:widowControl/>
              <w:spacing w:line="300" w:lineRule="exact"/>
              <w:jc w:val="center"/>
              <w:rPr>
                <w:rFonts w:ascii="宋体" w:eastAsia="宋体" w:hAnsi="宋体" w:cs="宋体"/>
                <w:b/>
                <w:color w:val="000000"/>
                <w:kern w:val="0"/>
                <w:sz w:val="24"/>
                <w:szCs w:val="24"/>
              </w:rPr>
            </w:pPr>
            <w:r w:rsidRPr="006B15B6">
              <w:rPr>
                <w:rFonts w:ascii="宋体" w:eastAsia="宋体" w:hAnsi="宋体" w:cs="宋体" w:hint="eastAsia"/>
                <w:b/>
                <w:color w:val="000000"/>
                <w:kern w:val="0"/>
                <w:sz w:val="24"/>
                <w:szCs w:val="24"/>
              </w:rPr>
              <w:t>一级企业</w:t>
            </w:r>
          </w:p>
        </w:tc>
        <w:tc>
          <w:tcPr>
            <w:tcW w:w="2410" w:type="dxa"/>
          </w:tcPr>
          <w:p w14:paraId="0319F091" w14:textId="77777777" w:rsidR="0060050D" w:rsidRPr="006B15B6" w:rsidRDefault="0060050D" w:rsidP="00911600">
            <w:pPr>
              <w:widowControl/>
              <w:spacing w:line="300" w:lineRule="exact"/>
              <w:jc w:val="center"/>
              <w:rPr>
                <w:rFonts w:ascii="宋体" w:eastAsia="宋体" w:hAnsi="宋体" w:cs="宋体"/>
                <w:b/>
                <w:color w:val="000000"/>
                <w:kern w:val="0"/>
                <w:sz w:val="24"/>
                <w:szCs w:val="24"/>
              </w:rPr>
            </w:pPr>
            <w:r w:rsidRPr="006B15B6">
              <w:rPr>
                <w:rFonts w:ascii="宋体" w:eastAsia="宋体" w:hAnsi="宋体" w:cs="宋体" w:hint="eastAsia"/>
                <w:b/>
                <w:color w:val="000000"/>
                <w:kern w:val="0"/>
                <w:sz w:val="24"/>
                <w:szCs w:val="24"/>
              </w:rPr>
              <w:t>二级企业</w:t>
            </w:r>
          </w:p>
        </w:tc>
        <w:tc>
          <w:tcPr>
            <w:tcW w:w="2410" w:type="dxa"/>
          </w:tcPr>
          <w:p w14:paraId="152E9876" w14:textId="77777777" w:rsidR="0060050D" w:rsidRPr="006B15B6" w:rsidRDefault="0060050D" w:rsidP="00911600">
            <w:pPr>
              <w:widowControl/>
              <w:spacing w:line="300" w:lineRule="exact"/>
              <w:jc w:val="center"/>
              <w:rPr>
                <w:rFonts w:ascii="宋体" w:eastAsia="宋体" w:hAnsi="宋体" w:cs="宋体"/>
                <w:b/>
                <w:color w:val="000000"/>
                <w:kern w:val="0"/>
                <w:sz w:val="24"/>
                <w:szCs w:val="24"/>
              </w:rPr>
            </w:pPr>
            <w:r w:rsidRPr="006B15B6">
              <w:rPr>
                <w:rFonts w:ascii="宋体" w:eastAsia="宋体" w:hAnsi="宋体" w:cs="宋体" w:hint="eastAsia"/>
                <w:b/>
                <w:color w:val="000000"/>
                <w:kern w:val="0"/>
                <w:sz w:val="24"/>
                <w:szCs w:val="24"/>
              </w:rPr>
              <w:t>三级企业</w:t>
            </w:r>
          </w:p>
        </w:tc>
        <w:tc>
          <w:tcPr>
            <w:tcW w:w="1984" w:type="dxa"/>
            <w:vAlign w:val="center"/>
          </w:tcPr>
          <w:p w14:paraId="379B99AC" w14:textId="77777777" w:rsidR="0060050D" w:rsidRPr="006B15B6" w:rsidRDefault="0060050D" w:rsidP="00911600">
            <w:pPr>
              <w:widowControl/>
              <w:spacing w:line="300" w:lineRule="exact"/>
              <w:jc w:val="center"/>
              <w:rPr>
                <w:rFonts w:ascii="宋体" w:eastAsia="宋体" w:hAnsi="宋体" w:cs="宋体"/>
                <w:b/>
                <w:color w:val="000000"/>
                <w:kern w:val="0"/>
                <w:sz w:val="24"/>
                <w:szCs w:val="24"/>
              </w:rPr>
            </w:pPr>
            <w:r w:rsidRPr="006B15B6">
              <w:rPr>
                <w:rFonts w:ascii="宋体" w:eastAsia="宋体" w:hAnsi="宋体" w:cs="宋体" w:hint="eastAsia"/>
                <w:b/>
                <w:color w:val="000000"/>
                <w:kern w:val="0"/>
                <w:sz w:val="24"/>
                <w:szCs w:val="24"/>
              </w:rPr>
              <w:t>备注</w:t>
            </w:r>
          </w:p>
        </w:tc>
      </w:tr>
      <w:tr w:rsidR="0060050D" w:rsidRPr="006B15B6" w14:paraId="560EF599" w14:textId="77777777" w:rsidTr="00911600">
        <w:tc>
          <w:tcPr>
            <w:tcW w:w="2126" w:type="dxa"/>
            <w:vMerge w:val="restart"/>
            <w:vAlign w:val="center"/>
          </w:tcPr>
          <w:p w14:paraId="6294733F" w14:textId="77777777" w:rsidR="0060050D" w:rsidRPr="006B15B6" w:rsidRDefault="0060050D" w:rsidP="00911600">
            <w:pPr>
              <w:widowControl/>
              <w:spacing w:line="300" w:lineRule="exact"/>
              <w:rPr>
                <w:rFonts w:ascii="宋体" w:eastAsia="宋体" w:hAnsi="宋体" w:cs="宋体"/>
                <w:color w:val="000000"/>
                <w:kern w:val="0"/>
                <w:sz w:val="24"/>
                <w:szCs w:val="24"/>
              </w:rPr>
            </w:pPr>
            <w:proofErr w:type="gramStart"/>
            <w:r w:rsidRPr="006B15B6">
              <w:rPr>
                <w:rFonts w:ascii="宋体" w:eastAsia="宋体" w:hAnsi="宋体" w:cs="宋体" w:hint="eastAsia"/>
                <w:color w:val="000000"/>
                <w:kern w:val="0"/>
                <w:sz w:val="24"/>
                <w:szCs w:val="24"/>
              </w:rPr>
              <w:t>人大世纪</w:t>
            </w:r>
            <w:proofErr w:type="gramEnd"/>
            <w:r w:rsidRPr="006B15B6">
              <w:rPr>
                <w:rFonts w:ascii="宋体" w:eastAsia="宋体" w:hAnsi="宋体" w:cs="宋体" w:hint="eastAsia"/>
                <w:color w:val="000000"/>
                <w:kern w:val="0"/>
                <w:sz w:val="24"/>
                <w:szCs w:val="24"/>
              </w:rPr>
              <w:t>科技发展有限公司（资产公司）</w:t>
            </w:r>
          </w:p>
        </w:tc>
        <w:tc>
          <w:tcPr>
            <w:tcW w:w="2410" w:type="dxa"/>
            <w:vMerge w:val="restart"/>
            <w:vAlign w:val="center"/>
          </w:tcPr>
          <w:p w14:paraId="741629ED"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中国人民大学出版社有限公司</w:t>
            </w:r>
          </w:p>
        </w:tc>
        <w:tc>
          <w:tcPr>
            <w:tcW w:w="2410" w:type="dxa"/>
          </w:tcPr>
          <w:p w14:paraId="11535479"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北京人大数字科技有限公司</w:t>
            </w:r>
          </w:p>
        </w:tc>
        <w:tc>
          <w:tcPr>
            <w:tcW w:w="1984" w:type="dxa"/>
            <w:vAlign w:val="center"/>
          </w:tcPr>
          <w:p w14:paraId="44DC64AC"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r>
      <w:tr w:rsidR="0060050D" w:rsidRPr="006B15B6" w14:paraId="76D58B40" w14:textId="77777777" w:rsidTr="00911600">
        <w:tc>
          <w:tcPr>
            <w:tcW w:w="2126" w:type="dxa"/>
            <w:vMerge/>
            <w:vAlign w:val="center"/>
          </w:tcPr>
          <w:p w14:paraId="16F0C3A1"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vMerge/>
            <w:vAlign w:val="center"/>
          </w:tcPr>
          <w:p w14:paraId="2D8DB12F"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tcPr>
          <w:p w14:paraId="2FD32CAB"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北京华文图发信息咨询有限公司</w:t>
            </w:r>
          </w:p>
        </w:tc>
        <w:tc>
          <w:tcPr>
            <w:tcW w:w="1984" w:type="dxa"/>
            <w:vAlign w:val="center"/>
          </w:tcPr>
          <w:p w14:paraId="536578BB"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r>
      <w:tr w:rsidR="0060050D" w:rsidRPr="006B15B6" w14:paraId="50431D26" w14:textId="77777777" w:rsidTr="00911600">
        <w:tc>
          <w:tcPr>
            <w:tcW w:w="2126" w:type="dxa"/>
            <w:vMerge/>
            <w:vAlign w:val="center"/>
          </w:tcPr>
          <w:p w14:paraId="794C16F9"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vMerge w:val="restart"/>
            <w:vAlign w:val="center"/>
          </w:tcPr>
          <w:p w14:paraId="771A510E"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北京人大文化科技园建设发展有限公司</w:t>
            </w:r>
          </w:p>
        </w:tc>
        <w:tc>
          <w:tcPr>
            <w:tcW w:w="2410" w:type="dxa"/>
          </w:tcPr>
          <w:p w14:paraId="47A47701"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北京人大文化科技企业孵化器有限公司</w:t>
            </w:r>
          </w:p>
        </w:tc>
        <w:tc>
          <w:tcPr>
            <w:tcW w:w="1984" w:type="dxa"/>
            <w:vAlign w:val="center"/>
          </w:tcPr>
          <w:p w14:paraId="0B763104"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r>
      <w:tr w:rsidR="0060050D" w:rsidRPr="006B15B6" w14:paraId="2976FB52" w14:textId="77777777" w:rsidTr="00911600">
        <w:tc>
          <w:tcPr>
            <w:tcW w:w="2126" w:type="dxa"/>
            <w:vMerge/>
            <w:vAlign w:val="center"/>
          </w:tcPr>
          <w:p w14:paraId="39C22B93"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vMerge/>
            <w:vAlign w:val="center"/>
          </w:tcPr>
          <w:p w14:paraId="690E680A"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tcPr>
          <w:p w14:paraId="68BA25F7"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roofErr w:type="gramStart"/>
            <w:r w:rsidRPr="006B15B6">
              <w:rPr>
                <w:rFonts w:ascii="宋体" w:eastAsia="宋体" w:hAnsi="宋体" w:cs="宋体" w:hint="eastAsia"/>
                <w:color w:val="000000"/>
                <w:kern w:val="0"/>
                <w:sz w:val="24"/>
                <w:szCs w:val="24"/>
              </w:rPr>
              <w:t>常熟人大</w:t>
            </w:r>
            <w:proofErr w:type="gramEnd"/>
            <w:r w:rsidRPr="006B15B6">
              <w:rPr>
                <w:rFonts w:ascii="宋体" w:eastAsia="宋体" w:hAnsi="宋体" w:cs="宋体" w:hint="eastAsia"/>
                <w:color w:val="000000"/>
                <w:kern w:val="0"/>
                <w:sz w:val="24"/>
                <w:szCs w:val="24"/>
              </w:rPr>
              <w:t>文化科技有限公司</w:t>
            </w:r>
          </w:p>
        </w:tc>
        <w:tc>
          <w:tcPr>
            <w:tcW w:w="1984" w:type="dxa"/>
            <w:vAlign w:val="center"/>
          </w:tcPr>
          <w:p w14:paraId="484F68DE"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r>
      <w:tr w:rsidR="0060050D" w:rsidRPr="006B15B6" w14:paraId="16B5CACC" w14:textId="77777777" w:rsidTr="00911600">
        <w:tc>
          <w:tcPr>
            <w:tcW w:w="2126" w:type="dxa"/>
            <w:vMerge/>
            <w:vAlign w:val="center"/>
          </w:tcPr>
          <w:p w14:paraId="54943721"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vAlign w:val="center"/>
          </w:tcPr>
          <w:p w14:paraId="5513CB9F"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北京世纪明德物业管理有限公司</w:t>
            </w:r>
          </w:p>
        </w:tc>
        <w:tc>
          <w:tcPr>
            <w:tcW w:w="2410" w:type="dxa"/>
          </w:tcPr>
          <w:p w14:paraId="73777C68"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1984" w:type="dxa"/>
            <w:vAlign w:val="center"/>
          </w:tcPr>
          <w:p w14:paraId="49ECA654"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r>
      <w:tr w:rsidR="0060050D" w:rsidRPr="006B15B6" w14:paraId="4A9165B8" w14:textId="77777777" w:rsidTr="00911600">
        <w:tc>
          <w:tcPr>
            <w:tcW w:w="2126" w:type="dxa"/>
            <w:vMerge/>
            <w:vAlign w:val="center"/>
          </w:tcPr>
          <w:p w14:paraId="5731A543"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vAlign w:val="center"/>
          </w:tcPr>
          <w:p w14:paraId="269DDB2D"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北京世纪方兴商贸发展有限公司</w:t>
            </w:r>
          </w:p>
        </w:tc>
        <w:tc>
          <w:tcPr>
            <w:tcW w:w="2410" w:type="dxa"/>
          </w:tcPr>
          <w:p w14:paraId="10EE0D0A"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1984" w:type="dxa"/>
            <w:vAlign w:val="center"/>
          </w:tcPr>
          <w:p w14:paraId="1776FB3F"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r>
      <w:tr w:rsidR="0060050D" w:rsidRPr="006B15B6" w14:paraId="2F32762E" w14:textId="77777777" w:rsidTr="00911600">
        <w:tc>
          <w:tcPr>
            <w:tcW w:w="2126" w:type="dxa"/>
            <w:vMerge/>
            <w:vAlign w:val="center"/>
          </w:tcPr>
          <w:p w14:paraId="46F828C6"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vAlign w:val="center"/>
          </w:tcPr>
          <w:p w14:paraId="3941011B"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苏州世纪明德文化科技园有限公司</w:t>
            </w:r>
          </w:p>
        </w:tc>
        <w:tc>
          <w:tcPr>
            <w:tcW w:w="2410" w:type="dxa"/>
          </w:tcPr>
          <w:p w14:paraId="0DD44619"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1984" w:type="dxa"/>
            <w:vAlign w:val="center"/>
          </w:tcPr>
          <w:p w14:paraId="2391E608"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r>
      <w:tr w:rsidR="0060050D" w:rsidRPr="006B15B6" w14:paraId="62BBF17C" w14:textId="77777777" w:rsidTr="00911600">
        <w:tc>
          <w:tcPr>
            <w:tcW w:w="2126" w:type="dxa"/>
            <w:vMerge/>
            <w:vAlign w:val="center"/>
          </w:tcPr>
          <w:p w14:paraId="3DECA22C"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vAlign w:val="center"/>
          </w:tcPr>
          <w:p w14:paraId="3A163532"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黄山市黄山区世纪太平文化科技有限公司</w:t>
            </w:r>
          </w:p>
        </w:tc>
        <w:tc>
          <w:tcPr>
            <w:tcW w:w="2410" w:type="dxa"/>
          </w:tcPr>
          <w:p w14:paraId="01039662"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1984" w:type="dxa"/>
            <w:vAlign w:val="center"/>
          </w:tcPr>
          <w:p w14:paraId="01ACF191"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r>
      <w:tr w:rsidR="0060050D" w:rsidRPr="006B15B6" w14:paraId="3861822C" w14:textId="77777777" w:rsidTr="00911600">
        <w:tc>
          <w:tcPr>
            <w:tcW w:w="2126" w:type="dxa"/>
            <w:vMerge/>
            <w:tcBorders>
              <w:bottom w:val="single" w:sz="12" w:space="0" w:color="auto"/>
            </w:tcBorders>
            <w:vAlign w:val="center"/>
          </w:tcPr>
          <w:p w14:paraId="5F2C1505"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tcBorders>
              <w:bottom w:val="single" w:sz="12" w:space="0" w:color="auto"/>
            </w:tcBorders>
            <w:vAlign w:val="center"/>
          </w:tcPr>
          <w:p w14:paraId="392F52C8"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kern w:val="0"/>
                <w:sz w:val="24"/>
                <w:szCs w:val="24"/>
              </w:rPr>
              <w:t>人大数</w:t>
            </w:r>
            <w:proofErr w:type="gramStart"/>
            <w:r w:rsidRPr="006B15B6">
              <w:rPr>
                <w:rFonts w:ascii="宋体" w:eastAsia="宋体" w:hAnsi="宋体" w:cs="宋体" w:hint="eastAsia"/>
                <w:kern w:val="0"/>
                <w:sz w:val="24"/>
                <w:szCs w:val="24"/>
              </w:rPr>
              <w:t>媒</w:t>
            </w:r>
            <w:proofErr w:type="gramEnd"/>
            <w:r w:rsidRPr="006B15B6">
              <w:rPr>
                <w:rFonts w:ascii="宋体" w:eastAsia="宋体" w:hAnsi="宋体" w:cs="宋体" w:hint="eastAsia"/>
                <w:kern w:val="0"/>
                <w:sz w:val="24"/>
                <w:szCs w:val="24"/>
              </w:rPr>
              <w:t>科技（北京）有限公司</w:t>
            </w:r>
          </w:p>
        </w:tc>
        <w:tc>
          <w:tcPr>
            <w:tcW w:w="2410" w:type="dxa"/>
            <w:tcBorders>
              <w:bottom w:val="single" w:sz="12" w:space="0" w:color="auto"/>
            </w:tcBorders>
          </w:tcPr>
          <w:p w14:paraId="6787A70F"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1984" w:type="dxa"/>
            <w:tcBorders>
              <w:bottom w:val="single" w:sz="12" w:space="0" w:color="auto"/>
            </w:tcBorders>
            <w:vAlign w:val="center"/>
          </w:tcPr>
          <w:p w14:paraId="5A20D393"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2018年6月由书报中心无偿划转至资产公司</w:t>
            </w:r>
          </w:p>
        </w:tc>
      </w:tr>
      <w:tr w:rsidR="0060050D" w:rsidRPr="006B15B6" w14:paraId="1F7D72FC" w14:textId="77777777" w:rsidTr="00911600">
        <w:tc>
          <w:tcPr>
            <w:tcW w:w="2126" w:type="dxa"/>
            <w:tcBorders>
              <w:top w:val="single" w:sz="12" w:space="0" w:color="auto"/>
            </w:tcBorders>
            <w:vAlign w:val="center"/>
          </w:tcPr>
          <w:p w14:paraId="0FCBAEAD"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lastRenderedPageBreak/>
              <w:t>中国人民大学书报资料中心（企业化管理事业单位）</w:t>
            </w:r>
          </w:p>
        </w:tc>
        <w:tc>
          <w:tcPr>
            <w:tcW w:w="2410" w:type="dxa"/>
            <w:tcBorders>
              <w:top w:val="single" w:sz="12" w:space="0" w:color="auto"/>
            </w:tcBorders>
            <w:vAlign w:val="center"/>
          </w:tcPr>
          <w:p w14:paraId="13F8CA6A"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tcBorders>
              <w:top w:val="single" w:sz="12" w:space="0" w:color="auto"/>
            </w:tcBorders>
            <w:vAlign w:val="center"/>
          </w:tcPr>
          <w:p w14:paraId="4A79F463" w14:textId="77777777" w:rsidR="0060050D" w:rsidRPr="006B15B6" w:rsidRDefault="0060050D" w:rsidP="00911600">
            <w:pPr>
              <w:widowControl/>
              <w:spacing w:line="300" w:lineRule="exact"/>
              <w:rPr>
                <w:rFonts w:ascii="宋体" w:eastAsia="宋体" w:hAnsi="宋体" w:cs="宋体"/>
                <w:color w:val="000000"/>
                <w:kern w:val="0"/>
                <w:sz w:val="24"/>
                <w:szCs w:val="24"/>
              </w:rPr>
            </w:pPr>
          </w:p>
        </w:tc>
        <w:tc>
          <w:tcPr>
            <w:tcW w:w="1984" w:type="dxa"/>
            <w:tcBorders>
              <w:top w:val="single" w:sz="12" w:space="0" w:color="auto"/>
            </w:tcBorders>
            <w:vAlign w:val="center"/>
          </w:tcPr>
          <w:p w14:paraId="43A1566D" w14:textId="77777777" w:rsidR="0060050D" w:rsidRPr="006B15B6" w:rsidRDefault="0060050D" w:rsidP="00911600">
            <w:pPr>
              <w:widowControl/>
              <w:spacing w:line="300" w:lineRule="exact"/>
              <w:jc w:val="left"/>
              <w:rPr>
                <w:rFonts w:ascii="宋体" w:eastAsia="宋体" w:hAnsi="宋体" w:cs="宋体"/>
                <w:color w:val="000000"/>
                <w:kern w:val="0"/>
                <w:sz w:val="24"/>
                <w:szCs w:val="24"/>
              </w:rPr>
            </w:pPr>
          </w:p>
        </w:tc>
      </w:tr>
    </w:tbl>
    <w:p w14:paraId="2AB0E9CA" w14:textId="77777777" w:rsidR="0060050D" w:rsidRDefault="0060050D" w:rsidP="0060050D">
      <w:pPr>
        <w:ind w:firstLineChars="200" w:firstLine="420"/>
        <w:rPr>
          <w:rFonts w:ascii="仿宋_GB2312" w:eastAsia="仿宋_GB2312" w:hAnsi="Times New Roman" w:cs="Times New Roman"/>
          <w:szCs w:val="21"/>
        </w:rPr>
      </w:pPr>
    </w:p>
    <w:p w14:paraId="6005C5B8" w14:textId="77777777" w:rsidR="00B82764" w:rsidRPr="00293DDC" w:rsidRDefault="000E27AA" w:rsidP="00B82764">
      <w:pPr>
        <w:ind w:firstLineChars="200" w:firstLine="643"/>
        <w:rPr>
          <w:rFonts w:ascii="仿宋" w:eastAsia="仿宋" w:hAnsi="仿宋" w:cs="Times New Roman"/>
          <w:b/>
          <w:bCs/>
          <w:sz w:val="32"/>
          <w:szCs w:val="32"/>
        </w:rPr>
      </w:pPr>
      <w:r w:rsidRPr="00293DDC">
        <w:rPr>
          <w:rFonts w:ascii="仿宋" w:eastAsia="仿宋" w:hAnsi="仿宋" w:cs="Times New Roman" w:hint="eastAsia"/>
          <w:b/>
          <w:bCs/>
          <w:sz w:val="32"/>
          <w:szCs w:val="32"/>
        </w:rPr>
        <w:t>2、统一部署委托中介机构进行年报审计</w:t>
      </w:r>
    </w:p>
    <w:p w14:paraId="587F0DCB" w14:textId="77777777" w:rsidR="000E27AA" w:rsidRPr="00293DDC" w:rsidRDefault="000E27AA" w:rsidP="000E27AA">
      <w:pPr>
        <w:ind w:firstLineChars="200" w:firstLine="640"/>
        <w:rPr>
          <w:rFonts w:ascii="仿宋" w:eastAsia="仿宋" w:hAnsi="仿宋" w:cs="Times New Roman"/>
          <w:sz w:val="32"/>
          <w:szCs w:val="32"/>
        </w:rPr>
      </w:pPr>
      <w:r w:rsidRPr="00293DDC">
        <w:rPr>
          <w:rFonts w:ascii="仿宋" w:eastAsia="仿宋" w:hAnsi="仿宋" w:cs="Times New Roman" w:hint="eastAsia"/>
          <w:sz w:val="32"/>
          <w:szCs w:val="32"/>
        </w:rPr>
        <w:t>我校国有资产管理办公室专门召集学校各级纳入合并范围的企业的总经理、财务负责人以及中介结构审计人员召开201</w:t>
      </w:r>
      <w:r w:rsidR="00392086" w:rsidRPr="00293DDC">
        <w:rPr>
          <w:rFonts w:ascii="仿宋" w:eastAsia="仿宋" w:hAnsi="仿宋" w:cs="Times New Roman" w:hint="eastAsia"/>
          <w:sz w:val="32"/>
          <w:szCs w:val="32"/>
        </w:rPr>
        <w:t>9</w:t>
      </w:r>
      <w:r w:rsidRPr="00293DDC">
        <w:rPr>
          <w:rFonts w:ascii="仿宋" w:eastAsia="仿宋" w:hAnsi="仿宋" w:cs="Times New Roman" w:hint="eastAsia"/>
          <w:sz w:val="32"/>
          <w:szCs w:val="32"/>
        </w:rPr>
        <w:t>年度校属企业审计工作会，明确年报审计、财务决算的意义，要求各下属企业充分重视该项工作，并对审计工作要求、工作完成时间节点等具体事项进行部署落实。</w:t>
      </w:r>
    </w:p>
    <w:p w14:paraId="1D40F872" w14:textId="77777777" w:rsidR="000E27AA" w:rsidRPr="00293DDC" w:rsidRDefault="000E27AA" w:rsidP="000E27AA">
      <w:pPr>
        <w:ind w:firstLineChars="200" w:firstLine="640"/>
        <w:rPr>
          <w:rFonts w:ascii="仿宋" w:eastAsia="仿宋" w:hAnsi="仿宋" w:cs="Times New Roman"/>
          <w:sz w:val="32"/>
          <w:szCs w:val="32"/>
        </w:rPr>
      </w:pPr>
      <w:r w:rsidRPr="00293DDC">
        <w:rPr>
          <w:rFonts w:ascii="仿宋" w:eastAsia="仿宋" w:hAnsi="仿宋" w:cs="Times New Roman" w:hint="eastAsia"/>
          <w:sz w:val="32"/>
          <w:szCs w:val="32"/>
        </w:rPr>
        <w:t>我校国有资产管理办公室根据中介机构招标结果统一委派会计师事务所进行审计，为保证审计</w:t>
      </w:r>
      <w:r w:rsidR="00247A32" w:rsidRPr="00293DDC">
        <w:rPr>
          <w:rFonts w:ascii="仿宋" w:eastAsia="仿宋" w:hAnsi="仿宋" w:cs="Times New Roman" w:hint="eastAsia"/>
          <w:sz w:val="32"/>
          <w:szCs w:val="32"/>
        </w:rPr>
        <w:t>整体</w:t>
      </w:r>
      <w:r w:rsidRPr="00293DDC">
        <w:rPr>
          <w:rFonts w:ascii="仿宋" w:eastAsia="仿宋" w:hAnsi="仿宋" w:cs="Times New Roman" w:hint="eastAsia"/>
          <w:sz w:val="32"/>
          <w:szCs w:val="32"/>
        </w:rPr>
        <w:t>质量，同一合并范围下的企业选取同一家中介机构开展审计工作。</w:t>
      </w:r>
    </w:p>
    <w:p w14:paraId="6087DCC4" w14:textId="77777777" w:rsidR="00392086" w:rsidRPr="00293DDC" w:rsidRDefault="00392086" w:rsidP="000E27AA">
      <w:pPr>
        <w:ind w:firstLineChars="200" w:firstLine="643"/>
        <w:rPr>
          <w:rFonts w:ascii="仿宋" w:eastAsia="仿宋" w:hAnsi="仿宋" w:cs="Times New Roman"/>
          <w:b/>
          <w:bCs/>
          <w:sz w:val="32"/>
          <w:szCs w:val="32"/>
        </w:rPr>
      </w:pPr>
      <w:r w:rsidRPr="00293DDC">
        <w:rPr>
          <w:rFonts w:ascii="仿宋" w:eastAsia="仿宋" w:hAnsi="仿宋" w:cs="Times New Roman" w:hint="eastAsia"/>
          <w:b/>
          <w:bCs/>
          <w:sz w:val="32"/>
          <w:szCs w:val="32"/>
        </w:rPr>
        <w:t>3、在决算工作在严格要求</w:t>
      </w:r>
    </w:p>
    <w:p w14:paraId="572D439D" w14:textId="77777777" w:rsidR="00392086" w:rsidRPr="00293DDC" w:rsidRDefault="00392086" w:rsidP="00392086">
      <w:pPr>
        <w:ind w:firstLineChars="200" w:firstLine="640"/>
        <w:rPr>
          <w:rFonts w:ascii="仿宋" w:eastAsia="仿宋" w:hAnsi="仿宋" w:cs="Times New Roman"/>
          <w:sz w:val="32"/>
          <w:szCs w:val="32"/>
        </w:rPr>
      </w:pPr>
      <w:r w:rsidRPr="00293DDC">
        <w:rPr>
          <w:rFonts w:ascii="仿宋" w:eastAsia="仿宋" w:hAnsi="仿宋" w:cs="Times New Roman" w:hint="eastAsia"/>
          <w:sz w:val="32"/>
          <w:szCs w:val="32"/>
        </w:rPr>
        <w:t>根据教育部《关于做好2019年度企业财务会计决算报告工作的通知》（</w:t>
      </w:r>
      <w:proofErr w:type="gramStart"/>
      <w:r w:rsidRPr="00293DDC">
        <w:rPr>
          <w:rFonts w:ascii="仿宋" w:eastAsia="仿宋" w:hAnsi="仿宋" w:cs="Times New Roman" w:hint="eastAsia"/>
          <w:sz w:val="32"/>
          <w:szCs w:val="32"/>
        </w:rPr>
        <w:t>教财司函</w:t>
      </w:r>
      <w:proofErr w:type="gramEnd"/>
      <w:r w:rsidRPr="00293DDC">
        <w:rPr>
          <w:rFonts w:ascii="仿宋" w:eastAsia="仿宋" w:hAnsi="仿宋" w:cs="Times New Roman" w:hint="eastAsia"/>
          <w:sz w:val="32"/>
          <w:szCs w:val="32"/>
        </w:rPr>
        <w:t>〔2020〕19号）要求，学校积极组织各级企业按照经中介机构审计后以及企业合并报表数据汇总报送决算数据，按照规定的格式和内容撰写《财务情况说明书》及《国有资产管理情况报告》，对本年度的经营成果、财务状况及决算工作情况进行认真总结，并将本年数据与上年数据进行对比分析，对金额发生重大变化的情况及其原因进行详细说明。</w:t>
      </w:r>
    </w:p>
    <w:p w14:paraId="7E87B3E6" w14:textId="77777777" w:rsidR="000E27AA" w:rsidRPr="00293DDC" w:rsidRDefault="00247A32" w:rsidP="00247A32">
      <w:pPr>
        <w:ind w:firstLineChars="200" w:firstLine="640"/>
        <w:rPr>
          <w:rFonts w:ascii="黑体" w:eastAsia="黑体" w:hAnsi="黑体" w:cs="Times New Roman"/>
          <w:bCs/>
          <w:sz w:val="32"/>
          <w:szCs w:val="32"/>
        </w:rPr>
      </w:pPr>
      <w:r w:rsidRPr="00293DDC">
        <w:rPr>
          <w:rFonts w:ascii="黑体" w:eastAsia="黑体" w:hAnsi="黑体" w:cs="Times New Roman" w:hint="eastAsia"/>
          <w:bCs/>
          <w:sz w:val="32"/>
          <w:szCs w:val="32"/>
        </w:rPr>
        <w:t>二、取得的成效</w:t>
      </w:r>
    </w:p>
    <w:p w14:paraId="370D84E7" w14:textId="77777777" w:rsidR="00247A32" w:rsidRPr="00293DDC" w:rsidRDefault="00247A32" w:rsidP="00247A32">
      <w:pPr>
        <w:spacing w:line="580" w:lineRule="exact"/>
        <w:rPr>
          <w:rFonts w:ascii="仿宋" w:eastAsia="仿宋" w:hAnsi="仿宋" w:cs="Times New Roman"/>
          <w:kern w:val="0"/>
          <w:sz w:val="32"/>
          <w:szCs w:val="32"/>
        </w:rPr>
      </w:pPr>
      <w:r w:rsidRPr="00293DDC">
        <w:rPr>
          <w:rFonts w:ascii="仿宋_GB2312" w:eastAsia="仿宋_GB2312" w:hAnsi="宋体" w:cs="Times New Roman" w:hint="eastAsia"/>
          <w:kern w:val="0"/>
          <w:sz w:val="32"/>
          <w:szCs w:val="32"/>
        </w:rPr>
        <w:t xml:space="preserve">   </w:t>
      </w:r>
      <w:r w:rsidRPr="00293DDC">
        <w:rPr>
          <w:rFonts w:ascii="仿宋" w:eastAsia="仿宋" w:hAnsi="仿宋" w:cs="Times New Roman" w:hint="eastAsia"/>
          <w:kern w:val="0"/>
          <w:sz w:val="32"/>
          <w:szCs w:val="32"/>
        </w:rPr>
        <w:t xml:space="preserve"> 1.保证上报企业范围无遗漏</w:t>
      </w:r>
    </w:p>
    <w:p w14:paraId="1CB05F9F" w14:textId="77777777" w:rsidR="005D4D5E" w:rsidRPr="00293DDC" w:rsidRDefault="00247A32" w:rsidP="00247A32">
      <w:pPr>
        <w:spacing w:line="580" w:lineRule="exact"/>
        <w:ind w:firstLineChars="200" w:firstLine="640"/>
        <w:rPr>
          <w:rFonts w:ascii="仿宋" w:eastAsia="仿宋" w:hAnsi="仿宋" w:cs="Times New Roman"/>
          <w:kern w:val="0"/>
          <w:sz w:val="32"/>
          <w:szCs w:val="32"/>
        </w:rPr>
      </w:pPr>
      <w:r w:rsidRPr="00293DDC">
        <w:rPr>
          <w:rFonts w:ascii="仿宋" w:eastAsia="仿宋" w:hAnsi="仿宋" w:cs="Times New Roman" w:hint="eastAsia"/>
          <w:kern w:val="0"/>
          <w:sz w:val="32"/>
          <w:szCs w:val="32"/>
        </w:rPr>
        <w:t>我校</w:t>
      </w:r>
      <w:r w:rsidR="005D4D5E" w:rsidRPr="00293DDC">
        <w:rPr>
          <w:rFonts w:ascii="仿宋" w:eastAsia="仿宋" w:hAnsi="仿宋" w:cs="Times New Roman" w:hint="eastAsia"/>
          <w:kern w:val="0"/>
          <w:sz w:val="32"/>
          <w:szCs w:val="32"/>
        </w:rPr>
        <w:t>力争做到所有全资、控股企业和相对控股企业均在整体</w:t>
      </w:r>
      <w:r w:rsidR="005D4D5E" w:rsidRPr="00293DDC">
        <w:rPr>
          <w:rFonts w:ascii="仿宋" w:eastAsia="仿宋" w:hAnsi="仿宋" w:cs="Times New Roman" w:hint="eastAsia"/>
          <w:kern w:val="0"/>
          <w:sz w:val="32"/>
          <w:szCs w:val="32"/>
        </w:rPr>
        <w:lastRenderedPageBreak/>
        <w:t>控制范围内，保证应合并的单位全部纳入合并范围，无遗漏。</w:t>
      </w:r>
    </w:p>
    <w:p w14:paraId="3551181A" w14:textId="77777777" w:rsidR="005D4D5E" w:rsidRPr="00293DDC" w:rsidRDefault="00247A32" w:rsidP="00247A32">
      <w:pPr>
        <w:spacing w:line="580" w:lineRule="exact"/>
        <w:ind w:firstLineChars="200" w:firstLine="640"/>
        <w:rPr>
          <w:rFonts w:ascii="仿宋" w:eastAsia="仿宋" w:hAnsi="仿宋" w:cs="Times New Roman"/>
          <w:kern w:val="0"/>
          <w:sz w:val="32"/>
          <w:szCs w:val="32"/>
        </w:rPr>
      </w:pPr>
      <w:r w:rsidRPr="00293DDC">
        <w:rPr>
          <w:rFonts w:ascii="仿宋" w:eastAsia="仿宋" w:hAnsi="仿宋" w:cs="Times New Roman" w:hint="eastAsia"/>
          <w:kern w:val="0"/>
          <w:sz w:val="32"/>
          <w:szCs w:val="32"/>
        </w:rPr>
        <w:t>2.</w:t>
      </w:r>
      <w:r w:rsidR="00820605" w:rsidRPr="00293DDC">
        <w:rPr>
          <w:rFonts w:ascii="仿宋" w:eastAsia="仿宋" w:hAnsi="仿宋" w:cs="Times New Roman" w:hint="eastAsia"/>
          <w:kern w:val="0"/>
          <w:sz w:val="32"/>
          <w:szCs w:val="32"/>
        </w:rPr>
        <w:t>规范财务工作</w:t>
      </w:r>
    </w:p>
    <w:p w14:paraId="03165FE9" w14:textId="77777777" w:rsidR="00E46DFF" w:rsidRPr="00293DDC" w:rsidRDefault="00E46DFF" w:rsidP="00820605">
      <w:pPr>
        <w:spacing w:line="580" w:lineRule="exact"/>
        <w:ind w:firstLineChars="200" w:firstLine="640"/>
        <w:rPr>
          <w:rFonts w:ascii="仿宋" w:eastAsia="仿宋" w:hAnsi="仿宋" w:cs="Times New Roman"/>
          <w:sz w:val="32"/>
          <w:szCs w:val="32"/>
        </w:rPr>
      </w:pPr>
      <w:r w:rsidRPr="00293DDC">
        <w:rPr>
          <w:rFonts w:ascii="仿宋" w:eastAsia="仿宋" w:hAnsi="仿宋" w:cs="Times New Roman" w:hint="eastAsia"/>
          <w:sz w:val="32"/>
          <w:szCs w:val="32"/>
        </w:rPr>
        <w:t>通过决算报表的编制及财务情况的分析，</w:t>
      </w:r>
      <w:r w:rsidR="00820605" w:rsidRPr="00293DDC">
        <w:rPr>
          <w:rFonts w:ascii="仿宋" w:eastAsia="仿宋" w:hAnsi="仿宋" w:cs="Times New Roman" w:hint="eastAsia"/>
          <w:sz w:val="32"/>
          <w:szCs w:val="32"/>
        </w:rPr>
        <w:t>我校纳入合并范围的各级企业</w:t>
      </w:r>
      <w:r w:rsidRPr="00293DDC">
        <w:rPr>
          <w:rFonts w:ascii="仿宋" w:eastAsia="仿宋" w:hAnsi="仿宋" w:cs="Times New Roman" w:hint="eastAsia"/>
          <w:sz w:val="32"/>
          <w:szCs w:val="32"/>
        </w:rPr>
        <w:t>财务情况能够得到全面展现，包括基本情况、财务状况、经营成果及结合行业发展的财务分析等，有利于</w:t>
      </w:r>
      <w:r w:rsidR="00820605" w:rsidRPr="00293DDC">
        <w:rPr>
          <w:rFonts w:ascii="仿宋" w:eastAsia="仿宋" w:hAnsi="仿宋" w:cs="Times New Roman" w:hint="eastAsia"/>
          <w:sz w:val="32"/>
          <w:szCs w:val="32"/>
        </w:rPr>
        <w:t>企业</w:t>
      </w:r>
      <w:r w:rsidRPr="00293DDC">
        <w:rPr>
          <w:rFonts w:ascii="仿宋" w:eastAsia="仿宋" w:hAnsi="仿宋" w:cs="Times New Roman" w:hint="eastAsia"/>
          <w:sz w:val="32"/>
          <w:szCs w:val="32"/>
        </w:rPr>
        <w:t>整体财务工作水平和财务信息质量的提高，也有利于</w:t>
      </w:r>
      <w:r w:rsidR="00820605" w:rsidRPr="00293DDC">
        <w:rPr>
          <w:rFonts w:ascii="仿宋" w:eastAsia="仿宋" w:hAnsi="仿宋" w:cs="Times New Roman" w:hint="eastAsia"/>
          <w:sz w:val="32"/>
          <w:szCs w:val="32"/>
        </w:rPr>
        <w:t>企业</w:t>
      </w:r>
      <w:r w:rsidRPr="00293DDC">
        <w:rPr>
          <w:rFonts w:ascii="仿宋" w:eastAsia="仿宋" w:hAnsi="仿宋" w:cs="Times New Roman" w:hint="eastAsia"/>
          <w:sz w:val="32"/>
          <w:szCs w:val="32"/>
        </w:rPr>
        <w:t>未来业务的发展。</w:t>
      </w:r>
    </w:p>
    <w:p w14:paraId="0C6A258B" w14:textId="77777777" w:rsidR="00E46DFF" w:rsidRPr="00293DDC" w:rsidRDefault="00E46DFF" w:rsidP="00820605">
      <w:pPr>
        <w:spacing w:line="580" w:lineRule="exact"/>
        <w:ind w:firstLineChars="200" w:firstLine="640"/>
        <w:rPr>
          <w:rFonts w:ascii="黑体" w:eastAsia="黑体" w:hAnsi="黑体" w:cs="Times New Roman"/>
          <w:bCs/>
          <w:sz w:val="32"/>
          <w:szCs w:val="32"/>
        </w:rPr>
      </w:pPr>
      <w:r w:rsidRPr="00293DDC">
        <w:rPr>
          <w:rFonts w:ascii="黑体" w:eastAsia="黑体" w:hAnsi="黑体" w:cs="Times New Roman" w:hint="eastAsia"/>
          <w:bCs/>
          <w:sz w:val="32"/>
          <w:szCs w:val="32"/>
        </w:rPr>
        <w:t>三、存在的问题</w:t>
      </w:r>
      <w:r w:rsidR="00736D7B" w:rsidRPr="00293DDC">
        <w:rPr>
          <w:rFonts w:ascii="黑体" w:eastAsia="黑体" w:hAnsi="黑体" w:cs="Times New Roman" w:hint="eastAsia"/>
          <w:bCs/>
          <w:sz w:val="32"/>
          <w:szCs w:val="32"/>
        </w:rPr>
        <w:t>及措施</w:t>
      </w:r>
    </w:p>
    <w:p w14:paraId="5F2F0C4E" w14:textId="77777777" w:rsidR="004C6172" w:rsidRPr="00293DDC" w:rsidRDefault="004C6172" w:rsidP="004C6172">
      <w:pPr>
        <w:tabs>
          <w:tab w:val="left" w:pos="0"/>
        </w:tabs>
        <w:ind w:firstLineChars="200" w:firstLine="640"/>
        <w:jc w:val="left"/>
        <w:rPr>
          <w:rFonts w:ascii="仿宋" w:eastAsia="仿宋" w:hAnsi="仿宋" w:cs="Times New Roman"/>
          <w:sz w:val="32"/>
          <w:szCs w:val="32"/>
        </w:rPr>
      </w:pPr>
      <w:r w:rsidRPr="00293DDC">
        <w:rPr>
          <w:rFonts w:ascii="仿宋" w:eastAsia="仿宋" w:hAnsi="仿宋" w:cs="Times New Roman" w:hint="eastAsia"/>
          <w:sz w:val="32"/>
          <w:szCs w:val="32"/>
        </w:rPr>
        <w:t>1、</w:t>
      </w:r>
      <w:r w:rsidR="00F064FA" w:rsidRPr="00293DDC">
        <w:rPr>
          <w:rFonts w:ascii="仿宋" w:eastAsia="仿宋" w:hAnsi="仿宋" w:cs="Times New Roman" w:hint="eastAsia"/>
          <w:sz w:val="32"/>
          <w:szCs w:val="32"/>
        </w:rPr>
        <w:t>对中介审计机构依赖性较强，对审计报告数据审核不够细致，不够严谨，需进一步提高自身审核数据的独立性，以进一步提高决算数据的准确性。</w:t>
      </w:r>
    </w:p>
    <w:p w14:paraId="2AF7EFC2" w14:textId="77777777" w:rsidR="004C6172" w:rsidRPr="00293DDC" w:rsidRDefault="004C6172" w:rsidP="004C6172">
      <w:pPr>
        <w:jc w:val="left"/>
        <w:rPr>
          <w:rFonts w:ascii="仿宋" w:eastAsia="仿宋" w:hAnsi="仿宋" w:cs="仿宋_GB2312"/>
          <w:b/>
          <w:bCs/>
          <w:sz w:val="32"/>
          <w:szCs w:val="32"/>
        </w:rPr>
      </w:pPr>
      <w:r w:rsidRPr="00293DDC">
        <w:rPr>
          <w:rFonts w:ascii="仿宋" w:eastAsia="仿宋" w:hAnsi="仿宋" w:cs="Times New Roman" w:hint="eastAsia"/>
          <w:sz w:val="32"/>
          <w:szCs w:val="32"/>
        </w:rPr>
        <w:t xml:space="preserve">    2、</w:t>
      </w:r>
      <w:r w:rsidR="0009643C" w:rsidRPr="00293DDC">
        <w:rPr>
          <w:rFonts w:ascii="仿宋" w:eastAsia="仿宋" w:hAnsi="仿宋" w:cs="Times New Roman" w:hint="eastAsia"/>
          <w:sz w:val="32"/>
          <w:szCs w:val="32"/>
        </w:rPr>
        <w:t>部分</w:t>
      </w:r>
      <w:r w:rsidRPr="00293DDC">
        <w:rPr>
          <w:rFonts w:ascii="仿宋" w:eastAsia="仿宋" w:hAnsi="仿宋" w:cs="Times New Roman" w:hint="eastAsia"/>
          <w:sz w:val="32"/>
          <w:szCs w:val="32"/>
        </w:rPr>
        <w:t>企业存在对决算报表中相关数据的勾</w:t>
      </w:r>
      <w:proofErr w:type="gramStart"/>
      <w:r w:rsidRPr="00293DDC">
        <w:rPr>
          <w:rFonts w:ascii="仿宋" w:eastAsia="仿宋" w:hAnsi="仿宋" w:cs="Times New Roman" w:hint="eastAsia"/>
          <w:sz w:val="32"/>
          <w:szCs w:val="32"/>
        </w:rPr>
        <w:t>稽</w:t>
      </w:r>
      <w:proofErr w:type="gramEnd"/>
      <w:r w:rsidRPr="00293DDC">
        <w:rPr>
          <w:rFonts w:ascii="仿宋" w:eastAsia="仿宋" w:hAnsi="仿宋" w:cs="Times New Roman" w:hint="eastAsia"/>
          <w:sz w:val="32"/>
          <w:szCs w:val="32"/>
        </w:rPr>
        <w:t>关系了解得不够透彻的问题，还需要进一步加强研究学习，同时国资办也加强辅导和指导以提高工作专业性。</w:t>
      </w:r>
    </w:p>
    <w:sectPr w:rsidR="004C6172" w:rsidRPr="00293DDC" w:rsidSect="00745900">
      <w:pgSz w:w="11906" w:h="16838" w:code="9"/>
      <w:pgMar w:top="1361" w:right="1474" w:bottom="1361" w:left="147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F1EC7" w14:textId="77777777" w:rsidR="00187FE7" w:rsidRDefault="00187FE7" w:rsidP="00E8367F">
      <w:r>
        <w:separator/>
      </w:r>
    </w:p>
  </w:endnote>
  <w:endnote w:type="continuationSeparator" w:id="0">
    <w:p w14:paraId="2B9DEAB7" w14:textId="77777777" w:rsidR="00187FE7" w:rsidRDefault="00187FE7" w:rsidP="00E8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65215" w14:textId="77777777" w:rsidR="00187FE7" w:rsidRDefault="00187FE7" w:rsidP="00E8367F">
      <w:r>
        <w:separator/>
      </w:r>
    </w:p>
  </w:footnote>
  <w:footnote w:type="continuationSeparator" w:id="0">
    <w:p w14:paraId="4C9C5A06" w14:textId="77777777" w:rsidR="00187FE7" w:rsidRDefault="00187FE7" w:rsidP="00E83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A055B"/>
    <w:multiLevelType w:val="hybridMultilevel"/>
    <w:tmpl w:val="248A0798"/>
    <w:lvl w:ilvl="0" w:tplc="B2D2CEA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73CD5822"/>
    <w:multiLevelType w:val="hybridMultilevel"/>
    <w:tmpl w:val="7A72E4E6"/>
    <w:lvl w:ilvl="0" w:tplc="FC4C965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67F"/>
    <w:rsid w:val="00005DB8"/>
    <w:rsid w:val="00012372"/>
    <w:rsid w:val="00021B5D"/>
    <w:rsid w:val="00023211"/>
    <w:rsid w:val="00042743"/>
    <w:rsid w:val="00051095"/>
    <w:rsid w:val="00053120"/>
    <w:rsid w:val="000612AC"/>
    <w:rsid w:val="00063117"/>
    <w:rsid w:val="000668EA"/>
    <w:rsid w:val="00092526"/>
    <w:rsid w:val="0009438F"/>
    <w:rsid w:val="0009643C"/>
    <w:rsid w:val="000A2304"/>
    <w:rsid w:val="000C26F7"/>
    <w:rsid w:val="000C3226"/>
    <w:rsid w:val="000D361A"/>
    <w:rsid w:val="000E27AA"/>
    <w:rsid w:val="000F5227"/>
    <w:rsid w:val="0010374D"/>
    <w:rsid w:val="00110C8D"/>
    <w:rsid w:val="00111A35"/>
    <w:rsid w:val="0014316A"/>
    <w:rsid w:val="00153A0A"/>
    <w:rsid w:val="00156D58"/>
    <w:rsid w:val="0015715A"/>
    <w:rsid w:val="00161278"/>
    <w:rsid w:val="00161FB8"/>
    <w:rsid w:val="00163F7E"/>
    <w:rsid w:val="00165D79"/>
    <w:rsid w:val="0016609B"/>
    <w:rsid w:val="00170F3D"/>
    <w:rsid w:val="00173C62"/>
    <w:rsid w:val="00186481"/>
    <w:rsid w:val="00187FE7"/>
    <w:rsid w:val="001915EE"/>
    <w:rsid w:val="00196B1F"/>
    <w:rsid w:val="001A5201"/>
    <w:rsid w:val="001A549B"/>
    <w:rsid w:val="001A767D"/>
    <w:rsid w:val="001B0D45"/>
    <w:rsid w:val="001B144D"/>
    <w:rsid w:val="001C2E62"/>
    <w:rsid w:val="001D24D7"/>
    <w:rsid w:val="001D25F7"/>
    <w:rsid w:val="001D67BA"/>
    <w:rsid w:val="0020303F"/>
    <w:rsid w:val="0020338D"/>
    <w:rsid w:val="00210C47"/>
    <w:rsid w:val="0023449C"/>
    <w:rsid w:val="0023657C"/>
    <w:rsid w:val="00245FA1"/>
    <w:rsid w:val="00247A32"/>
    <w:rsid w:val="00250428"/>
    <w:rsid w:val="002645A6"/>
    <w:rsid w:val="00285E0B"/>
    <w:rsid w:val="00293DDC"/>
    <w:rsid w:val="00296AAB"/>
    <w:rsid w:val="002B7AB5"/>
    <w:rsid w:val="002C2017"/>
    <w:rsid w:val="002E490C"/>
    <w:rsid w:val="00310920"/>
    <w:rsid w:val="00313F07"/>
    <w:rsid w:val="003146DF"/>
    <w:rsid w:val="00315404"/>
    <w:rsid w:val="00316309"/>
    <w:rsid w:val="00322252"/>
    <w:rsid w:val="00340BF6"/>
    <w:rsid w:val="003414CB"/>
    <w:rsid w:val="00342220"/>
    <w:rsid w:val="00357CAF"/>
    <w:rsid w:val="00362A5F"/>
    <w:rsid w:val="0036349C"/>
    <w:rsid w:val="00364D79"/>
    <w:rsid w:val="00372CC7"/>
    <w:rsid w:val="00385802"/>
    <w:rsid w:val="00386473"/>
    <w:rsid w:val="00386DA5"/>
    <w:rsid w:val="00392086"/>
    <w:rsid w:val="00394B80"/>
    <w:rsid w:val="003A1262"/>
    <w:rsid w:val="003A1B2A"/>
    <w:rsid w:val="003A675E"/>
    <w:rsid w:val="003C0412"/>
    <w:rsid w:val="003C0DA6"/>
    <w:rsid w:val="003C1456"/>
    <w:rsid w:val="003C278A"/>
    <w:rsid w:val="003C4199"/>
    <w:rsid w:val="003D4B9C"/>
    <w:rsid w:val="003F6CAE"/>
    <w:rsid w:val="00402665"/>
    <w:rsid w:val="00416B35"/>
    <w:rsid w:val="00434450"/>
    <w:rsid w:val="00444449"/>
    <w:rsid w:val="00462EE2"/>
    <w:rsid w:val="004649BC"/>
    <w:rsid w:val="0046522B"/>
    <w:rsid w:val="004701F6"/>
    <w:rsid w:val="004739DF"/>
    <w:rsid w:val="004801FC"/>
    <w:rsid w:val="004820F1"/>
    <w:rsid w:val="004A1374"/>
    <w:rsid w:val="004A569C"/>
    <w:rsid w:val="004B715F"/>
    <w:rsid w:val="004C24F3"/>
    <w:rsid w:val="004C6172"/>
    <w:rsid w:val="004D467F"/>
    <w:rsid w:val="004D5D52"/>
    <w:rsid w:val="004D600A"/>
    <w:rsid w:val="0051087D"/>
    <w:rsid w:val="005127F4"/>
    <w:rsid w:val="005137F4"/>
    <w:rsid w:val="00514B55"/>
    <w:rsid w:val="00514C9E"/>
    <w:rsid w:val="00515A02"/>
    <w:rsid w:val="00516ED8"/>
    <w:rsid w:val="00522C05"/>
    <w:rsid w:val="00537D13"/>
    <w:rsid w:val="00540A88"/>
    <w:rsid w:val="00542676"/>
    <w:rsid w:val="00552449"/>
    <w:rsid w:val="00570826"/>
    <w:rsid w:val="005766ED"/>
    <w:rsid w:val="00577F2D"/>
    <w:rsid w:val="0058160C"/>
    <w:rsid w:val="0058278F"/>
    <w:rsid w:val="00584084"/>
    <w:rsid w:val="00587939"/>
    <w:rsid w:val="0059688B"/>
    <w:rsid w:val="005A22C0"/>
    <w:rsid w:val="005A3B83"/>
    <w:rsid w:val="005B5EC9"/>
    <w:rsid w:val="005C0AEA"/>
    <w:rsid w:val="005D4D5E"/>
    <w:rsid w:val="005E791E"/>
    <w:rsid w:val="005F4040"/>
    <w:rsid w:val="0060050D"/>
    <w:rsid w:val="006161A5"/>
    <w:rsid w:val="00616946"/>
    <w:rsid w:val="0062345B"/>
    <w:rsid w:val="00631A59"/>
    <w:rsid w:val="00636B07"/>
    <w:rsid w:val="0064039D"/>
    <w:rsid w:val="00656967"/>
    <w:rsid w:val="0068326D"/>
    <w:rsid w:val="006878B7"/>
    <w:rsid w:val="00695524"/>
    <w:rsid w:val="006A5C3E"/>
    <w:rsid w:val="006A631D"/>
    <w:rsid w:val="006B15B6"/>
    <w:rsid w:val="006B3709"/>
    <w:rsid w:val="006B7F49"/>
    <w:rsid w:val="006D4381"/>
    <w:rsid w:val="006F0FCC"/>
    <w:rsid w:val="00701577"/>
    <w:rsid w:val="00712C32"/>
    <w:rsid w:val="007136AB"/>
    <w:rsid w:val="0071503A"/>
    <w:rsid w:val="00736D7B"/>
    <w:rsid w:val="00745900"/>
    <w:rsid w:val="0075344B"/>
    <w:rsid w:val="00756357"/>
    <w:rsid w:val="0076022F"/>
    <w:rsid w:val="00764A4F"/>
    <w:rsid w:val="00767568"/>
    <w:rsid w:val="00767CCD"/>
    <w:rsid w:val="00773C1A"/>
    <w:rsid w:val="00783CEB"/>
    <w:rsid w:val="007C1F94"/>
    <w:rsid w:val="007D7C8C"/>
    <w:rsid w:val="007F5E20"/>
    <w:rsid w:val="007F665A"/>
    <w:rsid w:val="0080679C"/>
    <w:rsid w:val="00820605"/>
    <w:rsid w:val="00823BF6"/>
    <w:rsid w:val="008245B0"/>
    <w:rsid w:val="00826B9C"/>
    <w:rsid w:val="008425DD"/>
    <w:rsid w:val="008650DB"/>
    <w:rsid w:val="008715E4"/>
    <w:rsid w:val="00876163"/>
    <w:rsid w:val="0088674C"/>
    <w:rsid w:val="0089244D"/>
    <w:rsid w:val="008939D2"/>
    <w:rsid w:val="00897638"/>
    <w:rsid w:val="008C57A0"/>
    <w:rsid w:val="008D1D4E"/>
    <w:rsid w:val="008D5998"/>
    <w:rsid w:val="008D5F8B"/>
    <w:rsid w:val="008E3CB1"/>
    <w:rsid w:val="008E5755"/>
    <w:rsid w:val="008E6888"/>
    <w:rsid w:val="008F14E0"/>
    <w:rsid w:val="008F4BFC"/>
    <w:rsid w:val="00904923"/>
    <w:rsid w:val="009118DA"/>
    <w:rsid w:val="0094314A"/>
    <w:rsid w:val="009447A5"/>
    <w:rsid w:val="00953A13"/>
    <w:rsid w:val="009627F0"/>
    <w:rsid w:val="0097176D"/>
    <w:rsid w:val="00973E84"/>
    <w:rsid w:val="00980382"/>
    <w:rsid w:val="00987C98"/>
    <w:rsid w:val="00997292"/>
    <w:rsid w:val="009A6AD3"/>
    <w:rsid w:val="009C049B"/>
    <w:rsid w:val="009C7ED8"/>
    <w:rsid w:val="009D401A"/>
    <w:rsid w:val="009D7E8B"/>
    <w:rsid w:val="009E4B1F"/>
    <w:rsid w:val="009F716C"/>
    <w:rsid w:val="00A10302"/>
    <w:rsid w:val="00A14AF8"/>
    <w:rsid w:val="00A25612"/>
    <w:rsid w:val="00A3567D"/>
    <w:rsid w:val="00A37BAB"/>
    <w:rsid w:val="00A42B35"/>
    <w:rsid w:val="00A46F49"/>
    <w:rsid w:val="00A72484"/>
    <w:rsid w:val="00A84A2E"/>
    <w:rsid w:val="00A869CF"/>
    <w:rsid w:val="00A965D3"/>
    <w:rsid w:val="00AA617B"/>
    <w:rsid w:val="00AA6474"/>
    <w:rsid w:val="00AB35AE"/>
    <w:rsid w:val="00AC34BD"/>
    <w:rsid w:val="00AC6FDA"/>
    <w:rsid w:val="00AD1055"/>
    <w:rsid w:val="00AD61C4"/>
    <w:rsid w:val="00AF5402"/>
    <w:rsid w:val="00B05FAA"/>
    <w:rsid w:val="00B1072E"/>
    <w:rsid w:val="00B20176"/>
    <w:rsid w:val="00B26A9F"/>
    <w:rsid w:val="00B372BF"/>
    <w:rsid w:val="00B63A75"/>
    <w:rsid w:val="00B6730E"/>
    <w:rsid w:val="00B736D7"/>
    <w:rsid w:val="00B811FF"/>
    <w:rsid w:val="00B82764"/>
    <w:rsid w:val="00B830EC"/>
    <w:rsid w:val="00B931BB"/>
    <w:rsid w:val="00B969FF"/>
    <w:rsid w:val="00BD0ED2"/>
    <w:rsid w:val="00BE0917"/>
    <w:rsid w:val="00BE09FA"/>
    <w:rsid w:val="00BE1FB2"/>
    <w:rsid w:val="00BF6A83"/>
    <w:rsid w:val="00C12EEB"/>
    <w:rsid w:val="00C13FBF"/>
    <w:rsid w:val="00C306CF"/>
    <w:rsid w:val="00C37851"/>
    <w:rsid w:val="00C60B40"/>
    <w:rsid w:val="00C70A88"/>
    <w:rsid w:val="00C7581D"/>
    <w:rsid w:val="00C75F6B"/>
    <w:rsid w:val="00C81572"/>
    <w:rsid w:val="00C84D5A"/>
    <w:rsid w:val="00C86B3D"/>
    <w:rsid w:val="00C92C7B"/>
    <w:rsid w:val="00C9510A"/>
    <w:rsid w:val="00C95BED"/>
    <w:rsid w:val="00C96B9D"/>
    <w:rsid w:val="00CB2FD5"/>
    <w:rsid w:val="00CB35AD"/>
    <w:rsid w:val="00CC1284"/>
    <w:rsid w:val="00CE3B8C"/>
    <w:rsid w:val="00CE442E"/>
    <w:rsid w:val="00CF19BD"/>
    <w:rsid w:val="00CF43D4"/>
    <w:rsid w:val="00D306A0"/>
    <w:rsid w:val="00D44C51"/>
    <w:rsid w:val="00D4759A"/>
    <w:rsid w:val="00D5664C"/>
    <w:rsid w:val="00D56E29"/>
    <w:rsid w:val="00D64E70"/>
    <w:rsid w:val="00D71875"/>
    <w:rsid w:val="00D723F6"/>
    <w:rsid w:val="00D74343"/>
    <w:rsid w:val="00D77BAD"/>
    <w:rsid w:val="00D826A0"/>
    <w:rsid w:val="00D90AD8"/>
    <w:rsid w:val="00D93D38"/>
    <w:rsid w:val="00DA3E0D"/>
    <w:rsid w:val="00DA494C"/>
    <w:rsid w:val="00DB10BA"/>
    <w:rsid w:val="00DC467D"/>
    <w:rsid w:val="00DC4768"/>
    <w:rsid w:val="00DC670E"/>
    <w:rsid w:val="00DF016C"/>
    <w:rsid w:val="00E068C0"/>
    <w:rsid w:val="00E12EEA"/>
    <w:rsid w:val="00E17DFA"/>
    <w:rsid w:val="00E220E8"/>
    <w:rsid w:val="00E22700"/>
    <w:rsid w:val="00E2354C"/>
    <w:rsid w:val="00E3388E"/>
    <w:rsid w:val="00E342F9"/>
    <w:rsid w:val="00E34A1A"/>
    <w:rsid w:val="00E40145"/>
    <w:rsid w:val="00E406A0"/>
    <w:rsid w:val="00E40807"/>
    <w:rsid w:val="00E43F91"/>
    <w:rsid w:val="00E44EA0"/>
    <w:rsid w:val="00E46DFF"/>
    <w:rsid w:val="00E54CBD"/>
    <w:rsid w:val="00E6209B"/>
    <w:rsid w:val="00E71247"/>
    <w:rsid w:val="00E715DF"/>
    <w:rsid w:val="00E7290C"/>
    <w:rsid w:val="00E74988"/>
    <w:rsid w:val="00E773CF"/>
    <w:rsid w:val="00E815A1"/>
    <w:rsid w:val="00E8367F"/>
    <w:rsid w:val="00E875FB"/>
    <w:rsid w:val="00EB1C25"/>
    <w:rsid w:val="00EB3A89"/>
    <w:rsid w:val="00ED141C"/>
    <w:rsid w:val="00EF40BD"/>
    <w:rsid w:val="00F064FA"/>
    <w:rsid w:val="00F2136B"/>
    <w:rsid w:val="00F330E3"/>
    <w:rsid w:val="00F456A2"/>
    <w:rsid w:val="00F546A5"/>
    <w:rsid w:val="00F567F1"/>
    <w:rsid w:val="00F62958"/>
    <w:rsid w:val="00F726DB"/>
    <w:rsid w:val="00F7711C"/>
    <w:rsid w:val="00F84C25"/>
    <w:rsid w:val="00F91B5F"/>
    <w:rsid w:val="00F9218B"/>
    <w:rsid w:val="00F937AA"/>
    <w:rsid w:val="00FB460E"/>
    <w:rsid w:val="00FC2F52"/>
    <w:rsid w:val="00FE6894"/>
    <w:rsid w:val="00FE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27B80"/>
  <w15:docId w15:val="{A72D5FF6-3E21-444B-9342-57B3E12B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6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367F"/>
    <w:rPr>
      <w:sz w:val="18"/>
      <w:szCs w:val="18"/>
    </w:rPr>
  </w:style>
  <w:style w:type="paragraph" w:styleId="a5">
    <w:name w:val="footer"/>
    <w:basedOn w:val="a"/>
    <w:link w:val="a6"/>
    <w:uiPriority w:val="99"/>
    <w:unhideWhenUsed/>
    <w:rsid w:val="00E8367F"/>
    <w:pPr>
      <w:tabs>
        <w:tab w:val="center" w:pos="4153"/>
        <w:tab w:val="right" w:pos="8306"/>
      </w:tabs>
      <w:snapToGrid w:val="0"/>
      <w:jc w:val="left"/>
    </w:pPr>
    <w:rPr>
      <w:sz w:val="18"/>
      <w:szCs w:val="18"/>
    </w:rPr>
  </w:style>
  <w:style w:type="character" w:customStyle="1" w:styleId="a6">
    <w:name w:val="页脚 字符"/>
    <w:basedOn w:val="a0"/>
    <w:link w:val="a5"/>
    <w:uiPriority w:val="99"/>
    <w:rsid w:val="00E8367F"/>
    <w:rPr>
      <w:sz w:val="18"/>
      <w:szCs w:val="18"/>
    </w:rPr>
  </w:style>
  <w:style w:type="paragraph" w:styleId="a7">
    <w:name w:val="List Paragraph"/>
    <w:basedOn w:val="a"/>
    <w:uiPriority w:val="34"/>
    <w:qFormat/>
    <w:rsid w:val="00E068C0"/>
    <w:pPr>
      <w:ind w:firstLineChars="200" w:firstLine="420"/>
    </w:pPr>
    <w:rPr>
      <w:rFonts w:ascii="Calibri" w:eastAsia="宋体" w:hAnsi="Calibri" w:cs="Calibri"/>
      <w:szCs w:val="21"/>
    </w:rPr>
  </w:style>
  <w:style w:type="paragraph" w:styleId="a8">
    <w:name w:val="Balloon Text"/>
    <w:basedOn w:val="a"/>
    <w:link w:val="a9"/>
    <w:uiPriority w:val="99"/>
    <w:semiHidden/>
    <w:unhideWhenUsed/>
    <w:rsid w:val="00372CC7"/>
    <w:rPr>
      <w:sz w:val="18"/>
      <w:szCs w:val="18"/>
    </w:rPr>
  </w:style>
  <w:style w:type="character" w:customStyle="1" w:styleId="a9">
    <w:name w:val="批注框文本 字符"/>
    <w:basedOn w:val="a0"/>
    <w:link w:val="a8"/>
    <w:uiPriority w:val="99"/>
    <w:semiHidden/>
    <w:rsid w:val="00372CC7"/>
    <w:rPr>
      <w:sz w:val="18"/>
      <w:szCs w:val="18"/>
    </w:rPr>
  </w:style>
  <w:style w:type="paragraph" w:customStyle="1" w:styleId="CharChar1Char">
    <w:name w:val="Char Char1 Char"/>
    <w:basedOn w:val="a"/>
    <w:semiHidden/>
    <w:rsid w:val="00AA617B"/>
    <w:pPr>
      <w:widowControl/>
      <w:spacing w:after="160" w:line="240" w:lineRule="exact"/>
      <w:jc w:val="left"/>
    </w:pPr>
    <w:rPr>
      <w:rFonts w:ascii="Verdana" w:eastAsia="宋体" w:hAnsi="Verdana" w:cs="Times New Roman"/>
      <w:kern w:val="0"/>
      <w:sz w:val="20"/>
      <w:szCs w:val="20"/>
      <w:lang w:eastAsia="en-US"/>
    </w:rPr>
  </w:style>
  <w:style w:type="paragraph" w:customStyle="1" w:styleId="CharChar2">
    <w:name w:val="Char Char2"/>
    <w:basedOn w:val="a"/>
    <w:semiHidden/>
    <w:rsid w:val="00CE3B8C"/>
    <w:pPr>
      <w:widowControl/>
      <w:spacing w:after="160" w:line="240" w:lineRule="exact"/>
      <w:jc w:val="left"/>
    </w:pPr>
    <w:rPr>
      <w:rFonts w:ascii="Verdana" w:eastAsia="宋体" w:hAnsi="Verdana" w:cs="Times New Roman"/>
      <w:kern w:val="0"/>
      <w:sz w:val="20"/>
      <w:szCs w:val="20"/>
      <w:lang w:eastAsia="en-US"/>
    </w:rPr>
  </w:style>
  <w:style w:type="paragraph" w:styleId="aa">
    <w:name w:val="Date"/>
    <w:basedOn w:val="a"/>
    <w:next w:val="a"/>
    <w:link w:val="ab"/>
    <w:uiPriority w:val="99"/>
    <w:semiHidden/>
    <w:unhideWhenUsed/>
    <w:rsid w:val="00A869CF"/>
    <w:pPr>
      <w:ind w:leftChars="2500" w:left="100"/>
    </w:pPr>
  </w:style>
  <w:style w:type="character" w:customStyle="1" w:styleId="ab">
    <w:name w:val="日期 字符"/>
    <w:basedOn w:val="a0"/>
    <w:link w:val="aa"/>
    <w:uiPriority w:val="99"/>
    <w:semiHidden/>
    <w:rsid w:val="00A86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90D78-40CC-4EC8-BAD3-6F9AD0A1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wxh</dc:creator>
  <cp:lastModifiedBy>龙 俊霖</cp:lastModifiedBy>
  <cp:revision>12</cp:revision>
  <cp:lastPrinted>2018-04-11T02:10:00Z</cp:lastPrinted>
  <dcterms:created xsi:type="dcterms:W3CDTF">2019-04-16T02:21:00Z</dcterms:created>
  <dcterms:modified xsi:type="dcterms:W3CDTF">2020-05-07T08:23:00Z</dcterms:modified>
</cp:coreProperties>
</file>