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BB7EEE" w14:textId="77777777" w:rsidR="006F4BC7" w:rsidRPr="00763857" w:rsidRDefault="006F4BC7" w:rsidP="00516ED8">
      <w:pPr>
        <w:jc w:val="center"/>
        <w:rPr>
          <w:rFonts w:ascii="方正小标宋简体" w:eastAsia="方正小标宋简体" w:hAnsi="Arial" w:cs="Arial" w:hint="eastAsia"/>
          <w:bCs/>
          <w:color w:val="363636"/>
          <w:sz w:val="44"/>
          <w:szCs w:val="44"/>
        </w:rPr>
      </w:pPr>
      <w:r w:rsidRPr="00763857">
        <w:rPr>
          <w:rFonts w:ascii="方正小标宋简体" w:eastAsia="方正小标宋简体" w:hAnsi="Arial" w:cs="Arial" w:hint="eastAsia"/>
          <w:bCs/>
          <w:color w:val="363636"/>
          <w:sz w:val="44"/>
          <w:szCs w:val="44"/>
        </w:rPr>
        <w:t>中国人民大学2019年度企业财务情况说明书</w:t>
      </w:r>
    </w:p>
    <w:p w14:paraId="7D0157EF" w14:textId="77777777" w:rsidR="006F4BC7" w:rsidRPr="00516ED8" w:rsidRDefault="006F4BC7" w:rsidP="00B0216D">
      <w:pPr>
        <w:ind w:firstLineChars="200" w:firstLine="640"/>
        <w:rPr>
          <w:rFonts w:ascii="仿宋_GB2312" w:eastAsia="仿宋_GB2312" w:hAnsi="Times New Roman"/>
          <w:sz w:val="32"/>
          <w:szCs w:val="32"/>
        </w:rPr>
      </w:pPr>
    </w:p>
    <w:p w14:paraId="3797661C" w14:textId="77777777" w:rsidR="006F4BC7" w:rsidRPr="00763857" w:rsidRDefault="006F4BC7" w:rsidP="0077624D">
      <w:pPr>
        <w:spacing w:line="560" w:lineRule="exact"/>
        <w:ind w:firstLine="645"/>
        <w:rPr>
          <w:rFonts w:ascii="仿宋" w:eastAsia="仿宋" w:hAnsi="仿宋"/>
          <w:sz w:val="32"/>
          <w:szCs w:val="32"/>
        </w:rPr>
      </w:pPr>
      <w:r w:rsidRPr="00763857">
        <w:rPr>
          <w:rFonts w:ascii="仿宋" w:eastAsia="仿宋" w:hAnsi="仿宋" w:hint="eastAsia"/>
          <w:sz w:val="32"/>
          <w:szCs w:val="32"/>
        </w:rPr>
        <w:t>根据教育部《关于做好</w:t>
      </w:r>
      <w:r w:rsidRPr="00763857">
        <w:rPr>
          <w:rFonts w:ascii="仿宋" w:eastAsia="仿宋" w:hAnsi="仿宋"/>
          <w:sz w:val="32"/>
          <w:szCs w:val="32"/>
        </w:rPr>
        <w:t>2019</w:t>
      </w:r>
      <w:r w:rsidRPr="00763857">
        <w:rPr>
          <w:rFonts w:ascii="仿宋" w:eastAsia="仿宋" w:hAnsi="仿宋" w:hint="eastAsia"/>
          <w:sz w:val="32"/>
          <w:szCs w:val="32"/>
        </w:rPr>
        <w:t>年度企业财务会计决算报告工作的通知》（</w:t>
      </w:r>
      <w:proofErr w:type="gramStart"/>
      <w:r w:rsidRPr="00763857">
        <w:rPr>
          <w:rFonts w:ascii="仿宋" w:eastAsia="仿宋" w:hAnsi="仿宋" w:hint="eastAsia"/>
          <w:sz w:val="32"/>
          <w:szCs w:val="32"/>
        </w:rPr>
        <w:t>教财司函</w:t>
      </w:r>
      <w:proofErr w:type="gramEnd"/>
      <w:r w:rsidRPr="00763857">
        <w:rPr>
          <w:rFonts w:ascii="仿宋" w:eastAsia="仿宋" w:hAnsi="仿宋" w:hint="eastAsia"/>
          <w:sz w:val="32"/>
          <w:szCs w:val="32"/>
        </w:rPr>
        <w:t>〔</w:t>
      </w:r>
      <w:r w:rsidRPr="00763857">
        <w:rPr>
          <w:rFonts w:ascii="仿宋" w:eastAsia="仿宋" w:hAnsi="仿宋"/>
          <w:sz w:val="32"/>
          <w:szCs w:val="32"/>
        </w:rPr>
        <w:t>2020</w:t>
      </w:r>
      <w:r w:rsidRPr="00763857">
        <w:rPr>
          <w:rFonts w:ascii="仿宋" w:eastAsia="仿宋" w:hAnsi="仿宋" w:hint="eastAsia"/>
          <w:sz w:val="32"/>
          <w:szCs w:val="32"/>
        </w:rPr>
        <w:t>〕</w:t>
      </w:r>
      <w:r w:rsidRPr="00763857">
        <w:rPr>
          <w:rFonts w:ascii="仿宋" w:eastAsia="仿宋" w:hAnsi="仿宋"/>
          <w:sz w:val="32"/>
          <w:szCs w:val="32"/>
        </w:rPr>
        <w:t>19</w:t>
      </w:r>
      <w:r w:rsidRPr="00763857">
        <w:rPr>
          <w:rFonts w:ascii="仿宋" w:eastAsia="仿宋" w:hAnsi="仿宋" w:hint="eastAsia"/>
          <w:sz w:val="32"/>
          <w:szCs w:val="32"/>
        </w:rPr>
        <w:t>号）要求，我校认真编制了《中国人民大学</w:t>
      </w:r>
      <w:r w:rsidRPr="00763857">
        <w:rPr>
          <w:rFonts w:ascii="仿宋" w:eastAsia="仿宋" w:hAnsi="仿宋"/>
          <w:sz w:val="32"/>
          <w:szCs w:val="32"/>
        </w:rPr>
        <w:t>2019</w:t>
      </w:r>
      <w:r w:rsidRPr="00763857">
        <w:rPr>
          <w:rFonts w:ascii="仿宋" w:eastAsia="仿宋" w:hAnsi="仿宋" w:hint="eastAsia"/>
          <w:sz w:val="32"/>
          <w:szCs w:val="32"/>
        </w:rPr>
        <w:t>年度企业财务会计决算报表》。现就我校</w:t>
      </w:r>
      <w:r w:rsidRPr="00763857">
        <w:rPr>
          <w:rFonts w:ascii="仿宋" w:eastAsia="仿宋" w:hAnsi="仿宋"/>
          <w:sz w:val="32"/>
          <w:szCs w:val="32"/>
        </w:rPr>
        <w:t>2019</w:t>
      </w:r>
      <w:r w:rsidRPr="00763857">
        <w:rPr>
          <w:rFonts w:ascii="仿宋" w:eastAsia="仿宋" w:hAnsi="仿宋" w:hint="eastAsia"/>
          <w:sz w:val="32"/>
          <w:szCs w:val="32"/>
        </w:rPr>
        <w:t>年度企业财务情况报告如下：</w:t>
      </w:r>
    </w:p>
    <w:p w14:paraId="4635046E" w14:textId="77777777" w:rsidR="006F4BC7" w:rsidRPr="00763857" w:rsidRDefault="006F4BC7" w:rsidP="0077624D">
      <w:pPr>
        <w:spacing w:line="560" w:lineRule="exact"/>
        <w:ind w:firstLineChars="196" w:firstLine="627"/>
        <w:rPr>
          <w:rFonts w:ascii="黑体" w:eastAsia="黑体" w:hAnsi="黑体"/>
          <w:bCs/>
          <w:sz w:val="32"/>
          <w:szCs w:val="32"/>
        </w:rPr>
      </w:pPr>
      <w:r w:rsidRPr="00763857">
        <w:rPr>
          <w:rFonts w:ascii="黑体" w:eastAsia="黑体" w:hAnsi="黑体" w:hint="eastAsia"/>
          <w:bCs/>
          <w:sz w:val="32"/>
          <w:szCs w:val="32"/>
        </w:rPr>
        <w:t>一、基本情况</w:t>
      </w:r>
    </w:p>
    <w:p w14:paraId="7AF7DC01" w14:textId="77777777" w:rsidR="006F4BC7" w:rsidRPr="00763857" w:rsidRDefault="006F4BC7" w:rsidP="0077624D">
      <w:pPr>
        <w:spacing w:line="560" w:lineRule="exact"/>
        <w:ind w:firstLineChars="200" w:firstLine="643"/>
        <w:rPr>
          <w:rFonts w:ascii="楷体" w:eastAsia="楷体" w:hAnsi="楷体"/>
          <w:b/>
          <w:sz w:val="32"/>
          <w:szCs w:val="32"/>
        </w:rPr>
      </w:pPr>
      <w:r w:rsidRPr="00763857">
        <w:rPr>
          <w:rFonts w:ascii="楷体" w:eastAsia="楷体" w:hAnsi="楷体" w:hint="eastAsia"/>
          <w:b/>
          <w:sz w:val="32"/>
          <w:szCs w:val="32"/>
        </w:rPr>
        <w:t>（一）编报范围</w:t>
      </w:r>
    </w:p>
    <w:p w14:paraId="11C00FB9" w14:textId="77777777" w:rsidR="006F4BC7" w:rsidRPr="00763857" w:rsidRDefault="006F4BC7" w:rsidP="0077624D">
      <w:pPr>
        <w:spacing w:line="560" w:lineRule="exact"/>
        <w:ind w:firstLine="645"/>
        <w:rPr>
          <w:rFonts w:ascii="仿宋" w:eastAsia="仿宋" w:hAnsi="仿宋"/>
          <w:sz w:val="32"/>
          <w:szCs w:val="32"/>
        </w:rPr>
      </w:pPr>
      <w:r w:rsidRPr="00763857">
        <w:rPr>
          <w:rFonts w:ascii="仿宋" w:eastAsia="仿宋" w:hAnsi="仿宋" w:hint="eastAsia"/>
          <w:sz w:val="32"/>
          <w:szCs w:val="32"/>
        </w:rPr>
        <w:t>我校</w:t>
      </w:r>
      <w:r w:rsidRPr="00763857">
        <w:rPr>
          <w:rFonts w:ascii="仿宋" w:eastAsia="仿宋" w:hAnsi="仿宋"/>
          <w:sz w:val="32"/>
          <w:szCs w:val="32"/>
        </w:rPr>
        <w:t>2019</w:t>
      </w:r>
      <w:r w:rsidRPr="00763857">
        <w:rPr>
          <w:rFonts w:ascii="仿宋" w:eastAsia="仿宋" w:hAnsi="仿宋" w:hint="eastAsia"/>
          <w:sz w:val="32"/>
          <w:szCs w:val="32"/>
        </w:rPr>
        <w:t>年度纳入企业财务会计决算报表编制范围的企业共</w:t>
      </w:r>
      <w:r w:rsidRPr="00763857">
        <w:rPr>
          <w:rFonts w:ascii="仿宋" w:eastAsia="仿宋" w:hAnsi="仿宋"/>
          <w:sz w:val="32"/>
          <w:szCs w:val="32"/>
        </w:rPr>
        <w:t>13</w:t>
      </w:r>
      <w:r w:rsidRPr="00763857">
        <w:rPr>
          <w:rFonts w:ascii="仿宋" w:eastAsia="仿宋" w:hAnsi="仿宋" w:hint="eastAsia"/>
          <w:sz w:val="32"/>
          <w:szCs w:val="32"/>
        </w:rPr>
        <w:t>家，比上年减少</w:t>
      </w:r>
      <w:r w:rsidRPr="00763857">
        <w:rPr>
          <w:rFonts w:ascii="仿宋" w:eastAsia="仿宋" w:hAnsi="仿宋"/>
          <w:sz w:val="32"/>
          <w:szCs w:val="32"/>
        </w:rPr>
        <w:t>1</w:t>
      </w:r>
      <w:r w:rsidRPr="00763857">
        <w:rPr>
          <w:rFonts w:ascii="仿宋" w:eastAsia="仿宋" w:hAnsi="仿宋" w:hint="eastAsia"/>
          <w:sz w:val="32"/>
          <w:szCs w:val="32"/>
        </w:rPr>
        <w:t>家，减少的企业为中国人民大学书报资料中心二级全资子公司北京市仁达书报资料咨询服务公司，该公司已于</w:t>
      </w:r>
      <w:r w:rsidRPr="00763857">
        <w:rPr>
          <w:rFonts w:ascii="仿宋" w:eastAsia="仿宋" w:hAnsi="仿宋"/>
          <w:sz w:val="32"/>
          <w:szCs w:val="32"/>
        </w:rPr>
        <w:t>2019</w:t>
      </w:r>
      <w:r w:rsidRPr="00763857">
        <w:rPr>
          <w:rFonts w:ascii="仿宋" w:eastAsia="仿宋" w:hAnsi="仿宋" w:hint="eastAsia"/>
          <w:sz w:val="32"/>
          <w:szCs w:val="32"/>
        </w:rPr>
        <w:t>年</w:t>
      </w:r>
      <w:r w:rsidRPr="00763857">
        <w:rPr>
          <w:rFonts w:ascii="仿宋" w:eastAsia="仿宋" w:hAnsi="仿宋"/>
          <w:sz w:val="32"/>
          <w:szCs w:val="32"/>
        </w:rPr>
        <w:t>7</w:t>
      </w:r>
      <w:r w:rsidRPr="00763857">
        <w:rPr>
          <w:rFonts w:ascii="仿宋" w:eastAsia="仿宋" w:hAnsi="仿宋" w:hint="eastAsia"/>
          <w:sz w:val="32"/>
          <w:szCs w:val="32"/>
        </w:rPr>
        <w:t>月注销。</w:t>
      </w:r>
    </w:p>
    <w:p w14:paraId="1027DB57" w14:textId="77777777" w:rsidR="006F4BC7" w:rsidRPr="00763857" w:rsidRDefault="006F4BC7" w:rsidP="0077624D">
      <w:pPr>
        <w:spacing w:line="560" w:lineRule="exact"/>
        <w:ind w:firstLine="645"/>
        <w:rPr>
          <w:rFonts w:ascii="仿宋" w:eastAsia="仿宋" w:hAnsi="仿宋"/>
          <w:sz w:val="32"/>
          <w:szCs w:val="32"/>
        </w:rPr>
      </w:pPr>
      <w:r w:rsidRPr="00763857">
        <w:rPr>
          <w:rFonts w:ascii="仿宋" w:eastAsia="仿宋" w:hAnsi="仿宋"/>
          <w:sz w:val="32"/>
          <w:szCs w:val="32"/>
        </w:rPr>
        <w:t>13</w:t>
      </w:r>
      <w:r w:rsidRPr="00763857">
        <w:rPr>
          <w:rFonts w:ascii="仿宋" w:eastAsia="仿宋" w:hAnsi="仿宋" w:hint="eastAsia"/>
          <w:sz w:val="32"/>
          <w:szCs w:val="32"/>
        </w:rPr>
        <w:t>家企业分别是：</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6"/>
        <w:gridCol w:w="2410"/>
        <w:gridCol w:w="2410"/>
        <w:gridCol w:w="1984"/>
      </w:tblGrid>
      <w:tr w:rsidR="006F4BC7" w:rsidRPr="008D25A3" w14:paraId="2B516572" w14:textId="77777777" w:rsidTr="0023657C">
        <w:tc>
          <w:tcPr>
            <w:tcW w:w="2126" w:type="dxa"/>
            <w:vAlign w:val="center"/>
          </w:tcPr>
          <w:p w14:paraId="641655BF" w14:textId="77777777" w:rsidR="006F4BC7" w:rsidRPr="006B15B6" w:rsidRDefault="006F4BC7" w:rsidP="0023657C">
            <w:pPr>
              <w:widowControl/>
              <w:spacing w:line="300" w:lineRule="exact"/>
              <w:jc w:val="center"/>
              <w:rPr>
                <w:rFonts w:ascii="宋体" w:cs="宋体"/>
                <w:b/>
                <w:color w:val="000000"/>
                <w:kern w:val="0"/>
                <w:sz w:val="24"/>
                <w:szCs w:val="24"/>
              </w:rPr>
            </w:pPr>
            <w:r w:rsidRPr="006B15B6">
              <w:rPr>
                <w:rFonts w:ascii="宋体" w:hAnsi="宋体" w:cs="宋体" w:hint="eastAsia"/>
                <w:b/>
                <w:color w:val="000000"/>
                <w:kern w:val="0"/>
                <w:sz w:val="24"/>
                <w:szCs w:val="24"/>
              </w:rPr>
              <w:t>一级企业</w:t>
            </w:r>
          </w:p>
        </w:tc>
        <w:tc>
          <w:tcPr>
            <w:tcW w:w="2410" w:type="dxa"/>
          </w:tcPr>
          <w:p w14:paraId="47E4629E" w14:textId="77777777" w:rsidR="006F4BC7" w:rsidRPr="006B15B6" w:rsidRDefault="006F4BC7" w:rsidP="0023657C">
            <w:pPr>
              <w:widowControl/>
              <w:spacing w:line="300" w:lineRule="exact"/>
              <w:jc w:val="center"/>
              <w:rPr>
                <w:rFonts w:ascii="宋体" w:cs="宋体"/>
                <w:b/>
                <w:color w:val="000000"/>
                <w:kern w:val="0"/>
                <w:sz w:val="24"/>
                <w:szCs w:val="24"/>
              </w:rPr>
            </w:pPr>
            <w:r w:rsidRPr="006B15B6">
              <w:rPr>
                <w:rFonts w:ascii="宋体" w:hAnsi="宋体" w:cs="宋体" w:hint="eastAsia"/>
                <w:b/>
                <w:color w:val="000000"/>
                <w:kern w:val="0"/>
                <w:sz w:val="24"/>
                <w:szCs w:val="24"/>
              </w:rPr>
              <w:t>二级企业</w:t>
            </w:r>
          </w:p>
        </w:tc>
        <w:tc>
          <w:tcPr>
            <w:tcW w:w="2410" w:type="dxa"/>
          </w:tcPr>
          <w:p w14:paraId="1FA82643" w14:textId="77777777" w:rsidR="006F4BC7" w:rsidRPr="006B15B6" w:rsidRDefault="006F4BC7" w:rsidP="0023657C">
            <w:pPr>
              <w:widowControl/>
              <w:spacing w:line="300" w:lineRule="exact"/>
              <w:jc w:val="center"/>
              <w:rPr>
                <w:rFonts w:ascii="宋体" w:cs="宋体"/>
                <w:b/>
                <w:color w:val="000000"/>
                <w:kern w:val="0"/>
                <w:sz w:val="24"/>
                <w:szCs w:val="24"/>
              </w:rPr>
            </w:pPr>
            <w:r w:rsidRPr="006B15B6">
              <w:rPr>
                <w:rFonts w:ascii="宋体" w:hAnsi="宋体" w:cs="宋体" w:hint="eastAsia"/>
                <w:b/>
                <w:color w:val="000000"/>
                <w:kern w:val="0"/>
                <w:sz w:val="24"/>
                <w:szCs w:val="24"/>
              </w:rPr>
              <w:t>三级企业</w:t>
            </w:r>
          </w:p>
        </w:tc>
        <w:tc>
          <w:tcPr>
            <w:tcW w:w="1984" w:type="dxa"/>
            <w:vAlign w:val="center"/>
          </w:tcPr>
          <w:p w14:paraId="10D08A2C" w14:textId="77777777" w:rsidR="006F4BC7" w:rsidRPr="006B15B6" w:rsidRDefault="006F4BC7" w:rsidP="0023657C">
            <w:pPr>
              <w:widowControl/>
              <w:spacing w:line="300" w:lineRule="exact"/>
              <w:jc w:val="center"/>
              <w:rPr>
                <w:rFonts w:ascii="宋体" w:cs="宋体"/>
                <w:b/>
                <w:color w:val="000000"/>
                <w:kern w:val="0"/>
                <w:sz w:val="24"/>
                <w:szCs w:val="24"/>
              </w:rPr>
            </w:pPr>
            <w:r w:rsidRPr="006B15B6">
              <w:rPr>
                <w:rFonts w:ascii="宋体" w:hAnsi="宋体" w:cs="宋体" w:hint="eastAsia"/>
                <w:b/>
                <w:color w:val="000000"/>
                <w:kern w:val="0"/>
                <w:sz w:val="24"/>
                <w:szCs w:val="24"/>
              </w:rPr>
              <w:t>备注</w:t>
            </w:r>
          </w:p>
        </w:tc>
      </w:tr>
      <w:tr w:rsidR="006F4BC7" w:rsidRPr="008D25A3" w14:paraId="3A23D00A" w14:textId="77777777" w:rsidTr="0023657C">
        <w:tc>
          <w:tcPr>
            <w:tcW w:w="2126" w:type="dxa"/>
            <w:vMerge w:val="restart"/>
            <w:vAlign w:val="center"/>
          </w:tcPr>
          <w:p w14:paraId="6CAD8760" w14:textId="77777777" w:rsidR="006F4BC7" w:rsidRPr="006B15B6" w:rsidRDefault="006F4BC7" w:rsidP="0023657C">
            <w:pPr>
              <w:widowControl/>
              <w:spacing w:line="300" w:lineRule="exact"/>
              <w:rPr>
                <w:rFonts w:ascii="宋体" w:cs="宋体"/>
                <w:color w:val="000000"/>
                <w:kern w:val="0"/>
                <w:sz w:val="24"/>
                <w:szCs w:val="24"/>
              </w:rPr>
            </w:pPr>
            <w:proofErr w:type="gramStart"/>
            <w:r w:rsidRPr="006B15B6">
              <w:rPr>
                <w:rFonts w:ascii="宋体" w:hAnsi="宋体" w:cs="宋体" w:hint="eastAsia"/>
                <w:color w:val="000000"/>
                <w:kern w:val="0"/>
                <w:sz w:val="24"/>
                <w:szCs w:val="24"/>
              </w:rPr>
              <w:t>人大世纪</w:t>
            </w:r>
            <w:proofErr w:type="gramEnd"/>
            <w:r w:rsidRPr="006B15B6">
              <w:rPr>
                <w:rFonts w:ascii="宋体" w:hAnsi="宋体" w:cs="宋体" w:hint="eastAsia"/>
                <w:color w:val="000000"/>
                <w:kern w:val="0"/>
                <w:sz w:val="24"/>
                <w:szCs w:val="24"/>
              </w:rPr>
              <w:t>科技发展有限公司（资产公司）</w:t>
            </w:r>
          </w:p>
        </w:tc>
        <w:tc>
          <w:tcPr>
            <w:tcW w:w="2410" w:type="dxa"/>
            <w:vMerge w:val="restart"/>
            <w:vAlign w:val="center"/>
          </w:tcPr>
          <w:p w14:paraId="582F5A38" w14:textId="77777777" w:rsidR="006F4BC7" w:rsidRPr="006B15B6" w:rsidRDefault="006F4BC7" w:rsidP="0023657C">
            <w:pPr>
              <w:widowControl/>
              <w:spacing w:line="300" w:lineRule="exact"/>
              <w:jc w:val="left"/>
              <w:rPr>
                <w:rFonts w:ascii="宋体" w:cs="宋体"/>
                <w:color w:val="000000"/>
                <w:kern w:val="0"/>
                <w:sz w:val="24"/>
                <w:szCs w:val="24"/>
              </w:rPr>
            </w:pPr>
            <w:r w:rsidRPr="006B15B6">
              <w:rPr>
                <w:rFonts w:ascii="宋体" w:hAnsi="宋体" w:cs="宋体" w:hint="eastAsia"/>
                <w:color w:val="000000"/>
                <w:kern w:val="0"/>
                <w:sz w:val="24"/>
                <w:szCs w:val="24"/>
              </w:rPr>
              <w:t>中国人民大学出版社有限公司</w:t>
            </w:r>
          </w:p>
        </w:tc>
        <w:tc>
          <w:tcPr>
            <w:tcW w:w="2410" w:type="dxa"/>
          </w:tcPr>
          <w:p w14:paraId="2BA5095C" w14:textId="77777777" w:rsidR="006F4BC7" w:rsidRPr="006B15B6" w:rsidRDefault="006F4BC7" w:rsidP="0023657C">
            <w:pPr>
              <w:widowControl/>
              <w:spacing w:line="300" w:lineRule="exact"/>
              <w:jc w:val="left"/>
              <w:rPr>
                <w:rFonts w:ascii="宋体" w:cs="宋体"/>
                <w:color w:val="000000"/>
                <w:kern w:val="0"/>
                <w:sz w:val="24"/>
                <w:szCs w:val="24"/>
              </w:rPr>
            </w:pPr>
            <w:r w:rsidRPr="006B15B6">
              <w:rPr>
                <w:rFonts w:ascii="宋体" w:hAnsi="宋体" w:cs="宋体" w:hint="eastAsia"/>
                <w:color w:val="000000"/>
                <w:kern w:val="0"/>
                <w:sz w:val="24"/>
                <w:szCs w:val="24"/>
              </w:rPr>
              <w:t>北京人大数字科技有限公司</w:t>
            </w:r>
          </w:p>
        </w:tc>
        <w:tc>
          <w:tcPr>
            <w:tcW w:w="1984" w:type="dxa"/>
            <w:vAlign w:val="center"/>
          </w:tcPr>
          <w:p w14:paraId="7564E14A" w14:textId="77777777" w:rsidR="006F4BC7" w:rsidRPr="006B15B6" w:rsidRDefault="006F4BC7" w:rsidP="0023657C">
            <w:pPr>
              <w:widowControl/>
              <w:spacing w:line="300" w:lineRule="exact"/>
              <w:jc w:val="left"/>
              <w:rPr>
                <w:rFonts w:ascii="宋体" w:cs="宋体"/>
                <w:color w:val="000000"/>
                <w:kern w:val="0"/>
                <w:sz w:val="24"/>
                <w:szCs w:val="24"/>
              </w:rPr>
            </w:pPr>
          </w:p>
        </w:tc>
      </w:tr>
      <w:tr w:rsidR="006F4BC7" w:rsidRPr="008D25A3" w14:paraId="7E4A2FCA" w14:textId="77777777" w:rsidTr="0023657C">
        <w:tc>
          <w:tcPr>
            <w:tcW w:w="2126" w:type="dxa"/>
            <w:vMerge/>
            <w:vAlign w:val="center"/>
          </w:tcPr>
          <w:p w14:paraId="0AF0E8BA" w14:textId="77777777" w:rsidR="006F4BC7" w:rsidRPr="006B15B6" w:rsidRDefault="006F4BC7" w:rsidP="0023657C">
            <w:pPr>
              <w:widowControl/>
              <w:spacing w:line="300" w:lineRule="exact"/>
              <w:jc w:val="left"/>
              <w:rPr>
                <w:rFonts w:ascii="宋体" w:cs="宋体"/>
                <w:color w:val="000000"/>
                <w:kern w:val="0"/>
                <w:sz w:val="24"/>
                <w:szCs w:val="24"/>
              </w:rPr>
            </w:pPr>
          </w:p>
        </w:tc>
        <w:tc>
          <w:tcPr>
            <w:tcW w:w="2410" w:type="dxa"/>
            <w:vMerge/>
            <w:vAlign w:val="center"/>
          </w:tcPr>
          <w:p w14:paraId="571CD9EC" w14:textId="77777777" w:rsidR="006F4BC7" w:rsidRPr="006B15B6" w:rsidRDefault="006F4BC7" w:rsidP="0023657C">
            <w:pPr>
              <w:widowControl/>
              <w:spacing w:line="300" w:lineRule="exact"/>
              <w:jc w:val="left"/>
              <w:rPr>
                <w:rFonts w:ascii="宋体" w:cs="宋体"/>
                <w:color w:val="000000"/>
                <w:kern w:val="0"/>
                <w:sz w:val="24"/>
                <w:szCs w:val="24"/>
              </w:rPr>
            </w:pPr>
          </w:p>
        </w:tc>
        <w:tc>
          <w:tcPr>
            <w:tcW w:w="2410" w:type="dxa"/>
          </w:tcPr>
          <w:p w14:paraId="08E10EFA" w14:textId="77777777" w:rsidR="006F4BC7" w:rsidRPr="006B15B6" w:rsidRDefault="006F4BC7" w:rsidP="0023657C">
            <w:pPr>
              <w:widowControl/>
              <w:spacing w:line="300" w:lineRule="exact"/>
              <w:jc w:val="left"/>
              <w:rPr>
                <w:rFonts w:ascii="宋体" w:cs="宋体"/>
                <w:color w:val="000000"/>
                <w:kern w:val="0"/>
                <w:sz w:val="24"/>
                <w:szCs w:val="24"/>
              </w:rPr>
            </w:pPr>
            <w:r w:rsidRPr="006B15B6">
              <w:rPr>
                <w:rFonts w:ascii="宋体" w:hAnsi="宋体" w:cs="宋体" w:hint="eastAsia"/>
                <w:color w:val="000000"/>
                <w:kern w:val="0"/>
                <w:sz w:val="24"/>
                <w:szCs w:val="24"/>
              </w:rPr>
              <w:t>北京华文图发信息咨询有限公司</w:t>
            </w:r>
          </w:p>
        </w:tc>
        <w:tc>
          <w:tcPr>
            <w:tcW w:w="1984" w:type="dxa"/>
            <w:vAlign w:val="center"/>
          </w:tcPr>
          <w:p w14:paraId="3D0830F0" w14:textId="77777777" w:rsidR="006F4BC7" w:rsidRPr="006B15B6" w:rsidRDefault="006F4BC7" w:rsidP="0023657C">
            <w:pPr>
              <w:widowControl/>
              <w:spacing w:line="300" w:lineRule="exact"/>
              <w:jc w:val="left"/>
              <w:rPr>
                <w:rFonts w:ascii="宋体" w:cs="宋体"/>
                <w:color w:val="000000"/>
                <w:kern w:val="0"/>
                <w:sz w:val="24"/>
                <w:szCs w:val="24"/>
              </w:rPr>
            </w:pPr>
          </w:p>
        </w:tc>
      </w:tr>
      <w:tr w:rsidR="006F4BC7" w:rsidRPr="008D25A3" w14:paraId="2C0399E5" w14:textId="77777777" w:rsidTr="0023657C">
        <w:tc>
          <w:tcPr>
            <w:tcW w:w="2126" w:type="dxa"/>
            <w:vMerge/>
            <w:vAlign w:val="center"/>
          </w:tcPr>
          <w:p w14:paraId="7F1858F5" w14:textId="77777777" w:rsidR="006F4BC7" w:rsidRPr="006B15B6" w:rsidRDefault="006F4BC7" w:rsidP="0023657C">
            <w:pPr>
              <w:widowControl/>
              <w:spacing w:line="300" w:lineRule="exact"/>
              <w:jc w:val="left"/>
              <w:rPr>
                <w:rFonts w:ascii="宋体" w:cs="宋体"/>
                <w:color w:val="000000"/>
                <w:kern w:val="0"/>
                <w:sz w:val="24"/>
                <w:szCs w:val="24"/>
              </w:rPr>
            </w:pPr>
          </w:p>
        </w:tc>
        <w:tc>
          <w:tcPr>
            <w:tcW w:w="2410" w:type="dxa"/>
            <w:vMerge w:val="restart"/>
            <w:vAlign w:val="center"/>
          </w:tcPr>
          <w:p w14:paraId="6419A384" w14:textId="77777777" w:rsidR="006F4BC7" w:rsidRPr="006B15B6" w:rsidRDefault="006F4BC7" w:rsidP="0023657C">
            <w:pPr>
              <w:widowControl/>
              <w:spacing w:line="300" w:lineRule="exact"/>
              <w:jc w:val="left"/>
              <w:rPr>
                <w:rFonts w:ascii="宋体" w:cs="宋体"/>
                <w:color w:val="000000"/>
                <w:kern w:val="0"/>
                <w:sz w:val="24"/>
                <w:szCs w:val="24"/>
              </w:rPr>
            </w:pPr>
            <w:r w:rsidRPr="006B15B6">
              <w:rPr>
                <w:rFonts w:ascii="宋体" w:hAnsi="宋体" w:cs="宋体" w:hint="eastAsia"/>
                <w:color w:val="000000"/>
                <w:kern w:val="0"/>
                <w:sz w:val="24"/>
                <w:szCs w:val="24"/>
              </w:rPr>
              <w:t>北京人大文化科技园建设发展有限公司</w:t>
            </w:r>
          </w:p>
        </w:tc>
        <w:tc>
          <w:tcPr>
            <w:tcW w:w="2410" w:type="dxa"/>
          </w:tcPr>
          <w:p w14:paraId="46A2EA2D" w14:textId="77777777" w:rsidR="006F4BC7" w:rsidRPr="006B15B6" w:rsidRDefault="006F4BC7" w:rsidP="0023657C">
            <w:pPr>
              <w:widowControl/>
              <w:spacing w:line="300" w:lineRule="exact"/>
              <w:jc w:val="left"/>
              <w:rPr>
                <w:rFonts w:ascii="宋体" w:cs="宋体"/>
                <w:color w:val="000000"/>
                <w:kern w:val="0"/>
                <w:sz w:val="24"/>
                <w:szCs w:val="24"/>
              </w:rPr>
            </w:pPr>
            <w:r w:rsidRPr="006B15B6">
              <w:rPr>
                <w:rFonts w:ascii="宋体" w:hAnsi="宋体" w:cs="宋体" w:hint="eastAsia"/>
                <w:color w:val="000000"/>
                <w:kern w:val="0"/>
                <w:sz w:val="24"/>
                <w:szCs w:val="24"/>
              </w:rPr>
              <w:t>北京人大文化科技企业孵化器有限公司</w:t>
            </w:r>
          </w:p>
        </w:tc>
        <w:tc>
          <w:tcPr>
            <w:tcW w:w="1984" w:type="dxa"/>
            <w:vAlign w:val="center"/>
          </w:tcPr>
          <w:p w14:paraId="72FE9769" w14:textId="77777777" w:rsidR="006F4BC7" w:rsidRPr="006B15B6" w:rsidRDefault="006F4BC7" w:rsidP="0023657C">
            <w:pPr>
              <w:widowControl/>
              <w:spacing w:line="300" w:lineRule="exact"/>
              <w:jc w:val="left"/>
              <w:rPr>
                <w:rFonts w:ascii="宋体" w:cs="宋体"/>
                <w:color w:val="000000"/>
                <w:kern w:val="0"/>
                <w:sz w:val="24"/>
                <w:szCs w:val="24"/>
              </w:rPr>
            </w:pPr>
          </w:p>
        </w:tc>
      </w:tr>
      <w:tr w:rsidR="006F4BC7" w:rsidRPr="008D25A3" w14:paraId="5B882896" w14:textId="77777777" w:rsidTr="0023657C">
        <w:tc>
          <w:tcPr>
            <w:tcW w:w="2126" w:type="dxa"/>
            <w:vMerge/>
            <w:vAlign w:val="center"/>
          </w:tcPr>
          <w:p w14:paraId="2133BEAF" w14:textId="77777777" w:rsidR="006F4BC7" w:rsidRPr="006B15B6" w:rsidRDefault="006F4BC7" w:rsidP="0023657C">
            <w:pPr>
              <w:widowControl/>
              <w:spacing w:line="300" w:lineRule="exact"/>
              <w:jc w:val="left"/>
              <w:rPr>
                <w:rFonts w:ascii="宋体" w:cs="宋体"/>
                <w:color w:val="000000"/>
                <w:kern w:val="0"/>
                <w:sz w:val="24"/>
                <w:szCs w:val="24"/>
              </w:rPr>
            </w:pPr>
          </w:p>
        </w:tc>
        <w:tc>
          <w:tcPr>
            <w:tcW w:w="2410" w:type="dxa"/>
            <w:vMerge/>
            <w:vAlign w:val="center"/>
          </w:tcPr>
          <w:p w14:paraId="592706E8" w14:textId="77777777" w:rsidR="006F4BC7" w:rsidRPr="006B15B6" w:rsidRDefault="006F4BC7" w:rsidP="0023657C">
            <w:pPr>
              <w:widowControl/>
              <w:spacing w:line="300" w:lineRule="exact"/>
              <w:jc w:val="left"/>
              <w:rPr>
                <w:rFonts w:ascii="宋体" w:cs="宋体"/>
                <w:color w:val="000000"/>
                <w:kern w:val="0"/>
                <w:sz w:val="24"/>
                <w:szCs w:val="24"/>
              </w:rPr>
            </w:pPr>
          </w:p>
        </w:tc>
        <w:tc>
          <w:tcPr>
            <w:tcW w:w="2410" w:type="dxa"/>
          </w:tcPr>
          <w:p w14:paraId="4940C91F" w14:textId="77777777" w:rsidR="006F4BC7" w:rsidRPr="006B15B6" w:rsidRDefault="006F4BC7" w:rsidP="0023657C">
            <w:pPr>
              <w:widowControl/>
              <w:spacing w:line="300" w:lineRule="exact"/>
              <w:jc w:val="left"/>
              <w:rPr>
                <w:rFonts w:ascii="宋体" w:cs="宋体"/>
                <w:color w:val="000000"/>
                <w:kern w:val="0"/>
                <w:sz w:val="24"/>
                <w:szCs w:val="24"/>
              </w:rPr>
            </w:pPr>
            <w:proofErr w:type="gramStart"/>
            <w:r w:rsidRPr="006B15B6">
              <w:rPr>
                <w:rFonts w:ascii="宋体" w:hAnsi="宋体" w:cs="宋体" w:hint="eastAsia"/>
                <w:color w:val="000000"/>
                <w:kern w:val="0"/>
                <w:sz w:val="24"/>
                <w:szCs w:val="24"/>
              </w:rPr>
              <w:t>常熟人大</w:t>
            </w:r>
            <w:proofErr w:type="gramEnd"/>
            <w:r w:rsidRPr="006B15B6">
              <w:rPr>
                <w:rFonts w:ascii="宋体" w:hAnsi="宋体" w:cs="宋体" w:hint="eastAsia"/>
                <w:color w:val="000000"/>
                <w:kern w:val="0"/>
                <w:sz w:val="24"/>
                <w:szCs w:val="24"/>
              </w:rPr>
              <w:t>文化科技有限公司</w:t>
            </w:r>
          </w:p>
        </w:tc>
        <w:tc>
          <w:tcPr>
            <w:tcW w:w="1984" w:type="dxa"/>
            <w:vAlign w:val="center"/>
          </w:tcPr>
          <w:p w14:paraId="5570981B" w14:textId="77777777" w:rsidR="006F4BC7" w:rsidRPr="006B15B6" w:rsidRDefault="006F4BC7" w:rsidP="0023657C">
            <w:pPr>
              <w:widowControl/>
              <w:spacing w:line="300" w:lineRule="exact"/>
              <w:jc w:val="left"/>
              <w:rPr>
                <w:rFonts w:ascii="宋体" w:cs="宋体"/>
                <w:color w:val="000000"/>
                <w:kern w:val="0"/>
                <w:sz w:val="24"/>
                <w:szCs w:val="24"/>
              </w:rPr>
            </w:pPr>
          </w:p>
        </w:tc>
      </w:tr>
      <w:tr w:rsidR="006F4BC7" w:rsidRPr="008D25A3" w14:paraId="275137C5" w14:textId="77777777" w:rsidTr="0023657C">
        <w:tc>
          <w:tcPr>
            <w:tcW w:w="2126" w:type="dxa"/>
            <w:vMerge/>
            <w:vAlign w:val="center"/>
          </w:tcPr>
          <w:p w14:paraId="1189E819" w14:textId="77777777" w:rsidR="006F4BC7" w:rsidRPr="006B15B6" w:rsidRDefault="006F4BC7" w:rsidP="0023657C">
            <w:pPr>
              <w:widowControl/>
              <w:spacing w:line="300" w:lineRule="exact"/>
              <w:jc w:val="left"/>
              <w:rPr>
                <w:rFonts w:ascii="宋体" w:cs="宋体"/>
                <w:color w:val="000000"/>
                <w:kern w:val="0"/>
                <w:sz w:val="24"/>
                <w:szCs w:val="24"/>
              </w:rPr>
            </w:pPr>
          </w:p>
        </w:tc>
        <w:tc>
          <w:tcPr>
            <w:tcW w:w="2410" w:type="dxa"/>
            <w:vAlign w:val="center"/>
          </w:tcPr>
          <w:p w14:paraId="7299C63E" w14:textId="77777777" w:rsidR="006F4BC7" w:rsidRPr="006B15B6" w:rsidRDefault="006F4BC7" w:rsidP="0023657C">
            <w:pPr>
              <w:widowControl/>
              <w:spacing w:line="300" w:lineRule="exact"/>
              <w:jc w:val="left"/>
              <w:rPr>
                <w:rFonts w:ascii="宋体" w:cs="宋体"/>
                <w:color w:val="000000"/>
                <w:kern w:val="0"/>
                <w:sz w:val="24"/>
                <w:szCs w:val="24"/>
              </w:rPr>
            </w:pPr>
            <w:r w:rsidRPr="006B15B6">
              <w:rPr>
                <w:rFonts w:ascii="宋体" w:hAnsi="宋体" w:cs="宋体" w:hint="eastAsia"/>
                <w:color w:val="000000"/>
                <w:kern w:val="0"/>
                <w:sz w:val="24"/>
                <w:szCs w:val="24"/>
              </w:rPr>
              <w:t>北京世纪明德物业管理有限公司</w:t>
            </w:r>
          </w:p>
        </w:tc>
        <w:tc>
          <w:tcPr>
            <w:tcW w:w="2410" w:type="dxa"/>
          </w:tcPr>
          <w:p w14:paraId="10573D73" w14:textId="77777777" w:rsidR="006F4BC7" w:rsidRPr="006B15B6" w:rsidRDefault="006F4BC7" w:rsidP="0023657C">
            <w:pPr>
              <w:widowControl/>
              <w:spacing w:line="300" w:lineRule="exact"/>
              <w:jc w:val="left"/>
              <w:rPr>
                <w:rFonts w:ascii="宋体" w:cs="宋体"/>
                <w:color w:val="000000"/>
                <w:kern w:val="0"/>
                <w:sz w:val="24"/>
                <w:szCs w:val="24"/>
              </w:rPr>
            </w:pPr>
          </w:p>
        </w:tc>
        <w:tc>
          <w:tcPr>
            <w:tcW w:w="1984" w:type="dxa"/>
            <w:vAlign w:val="center"/>
          </w:tcPr>
          <w:p w14:paraId="7DDD213E" w14:textId="77777777" w:rsidR="006F4BC7" w:rsidRPr="006B15B6" w:rsidRDefault="006F4BC7" w:rsidP="0023657C">
            <w:pPr>
              <w:widowControl/>
              <w:spacing w:line="300" w:lineRule="exact"/>
              <w:jc w:val="left"/>
              <w:rPr>
                <w:rFonts w:ascii="宋体" w:cs="宋体"/>
                <w:color w:val="000000"/>
                <w:kern w:val="0"/>
                <w:sz w:val="24"/>
                <w:szCs w:val="24"/>
              </w:rPr>
            </w:pPr>
          </w:p>
        </w:tc>
      </w:tr>
      <w:tr w:rsidR="006F4BC7" w:rsidRPr="008D25A3" w14:paraId="1B6CCBA6" w14:textId="77777777" w:rsidTr="0023657C">
        <w:tc>
          <w:tcPr>
            <w:tcW w:w="2126" w:type="dxa"/>
            <w:vMerge/>
            <w:vAlign w:val="center"/>
          </w:tcPr>
          <w:p w14:paraId="71D537F0" w14:textId="77777777" w:rsidR="006F4BC7" w:rsidRPr="006B15B6" w:rsidRDefault="006F4BC7" w:rsidP="0023657C">
            <w:pPr>
              <w:widowControl/>
              <w:spacing w:line="300" w:lineRule="exact"/>
              <w:jc w:val="left"/>
              <w:rPr>
                <w:rFonts w:ascii="宋体" w:cs="宋体"/>
                <w:color w:val="000000"/>
                <w:kern w:val="0"/>
                <w:sz w:val="24"/>
                <w:szCs w:val="24"/>
              </w:rPr>
            </w:pPr>
          </w:p>
        </w:tc>
        <w:tc>
          <w:tcPr>
            <w:tcW w:w="2410" w:type="dxa"/>
            <w:vAlign w:val="center"/>
          </w:tcPr>
          <w:p w14:paraId="1BCFD4F2" w14:textId="77777777" w:rsidR="006F4BC7" w:rsidRPr="006B15B6" w:rsidRDefault="006F4BC7" w:rsidP="0023657C">
            <w:pPr>
              <w:widowControl/>
              <w:spacing w:line="300" w:lineRule="exact"/>
              <w:jc w:val="left"/>
              <w:rPr>
                <w:rFonts w:ascii="宋体" w:cs="宋体"/>
                <w:color w:val="000000"/>
                <w:kern w:val="0"/>
                <w:sz w:val="24"/>
                <w:szCs w:val="24"/>
              </w:rPr>
            </w:pPr>
            <w:r w:rsidRPr="006B15B6">
              <w:rPr>
                <w:rFonts w:ascii="宋体" w:hAnsi="宋体" w:cs="宋体" w:hint="eastAsia"/>
                <w:color w:val="000000"/>
                <w:kern w:val="0"/>
                <w:sz w:val="24"/>
                <w:szCs w:val="24"/>
              </w:rPr>
              <w:t>北京世纪方兴商贸发展有限公司</w:t>
            </w:r>
          </w:p>
        </w:tc>
        <w:tc>
          <w:tcPr>
            <w:tcW w:w="2410" w:type="dxa"/>
          </w:tcPr>
          <w:p w14:paraId="0F290AFA" w14:textId="77777777" w:rsidR="006F4BC7" w:rsidRPr="006B15B6" w:rsidRDefault="006F4BC7" w:rsidP="0023657C">
            <w:pPr>
              <w:widowControl/>
              <w:spacing w:line="300" w:lineRule="exact"/>
              <w:jc w:val="left"/>
              <w:rPr>
                <w:rFonts w:ascii="宋体" w:cs="宋体"/>
                <w:color w:val="000000"/>
                <w:kern w:val="0"/>
                <w:sz w:val="24"/>
                <w:szCs w:val="24"/>
              </w:rPr>
            </w:pPr>
          </w:p>
        </w:tc>
        <w:tc>
          <w:tcPr>
            <w:tcW w:w="1984" w:type="dxa"/>
            <w:vAlign w:val="center"/>
          </w:tcPr>
          <w:p w14:paraId="3496E21A" w14:textId="77777777" w:rsidR="006F4BC7" w:rsidRPr="006B15B6" w:rsidRDefault="006F4BC7" w:rsidP="0023657C">
            <w:pPr>
              <w:widowControl/>
              <w:spacing w:line="300" w:lineRule="exact"/>
              <w:jc w:val="left"/>
              <w:rPr>
                <w:rFonts w:ascii="宋体" w:cs="宋体"/>
                <w:color w:val="000000"/>
                <w:kern w:val="0"/>
                <w:sz w:val="24"/>
                <w:szCs w:val="24"/>
              </w:rPr>
            </w:pPr>
          </w:p>
        </w:tc>
      </w:tr>
      <w:tr w:rsidR="006F4BC7" w:rsidRPr="008D25A3" w14:paraId="709D289D" w14:textId="77777777" w:rsidTr="0023657C">
        <w:tc>
          <w:tcPr>
            <w:tcW w:w="2126" w:type="dxa"/>
            <w:vMerge/>
            <w:vAlign w:val="center"/>
          </w:tcPr>
          <w:p w14:paraId="37CD6EBB" w14:textId="77777777" w:rsidR="006F4BC7" w:rsidRPr="006B15B6" w:rsidRDefault="006F4BC7" w:rsidP="0023657C">
            <w:pPr>
              <w:widowControl/>
              <w:spacing w:line="300" w:lineRule="exact"/>
              <w:jc w:val="left"/>
              <w:rPr>
                <w:rFonts w:ascii="宋体" w:cs="宋体"/>
                <w:color w:val="000000"/>
                <w:kern w:val="0"/>
                <w:sz w:val="24"/>
                <w:szCs w:val="24"/>
              </w:rPr>
            </w:pPr>
          </w:p>
        </w:tc>
        <w:tc>
          <w:tcPr>
            <w:tcW w:w="2410" w:type="dxa"/>
            <w:vAlign w:val="center"/>
          </w:tcPr>
          <w:p w14:paraId="5F1DC417" w14:textId="77777777" w:rsidR="006F4BC7" w:rsidRPr="006B15B6" w:rsidRDefault="006F4BC7" w:rsidP="0023657C">
            <w:pPr>
              <w:widowControl/>
              <w:spacing w:line="300" w:lineRule="exact"/>
              <w:jc w:val="left"/>
              <w:rPr>
                <w:rFonts w:ascii="宋体" w:cs="宋体"/>
                <w:color w:val="000000"/>
                <w:kern w:val="0"/>
                <w:sz w:val="24"/>
                <w:szCs w:val="24"/>
              </w:rPr>
            </w:pPr>
            <w:r w:rsidRPr="006B15B6">
              <w:rPr>
                <w:rFonts w:ascii="宋体" w:hAnsi="宋体" w:cs="宋体" w:hint="eastAsia"/>
                <w:color w:val="000000"/>
                <w:kern w:val="0"/>
                <w:sz w:val="24"/>
                <w:szCs w:val="24"/>
              </w:rPr>
              <w:t>苏州世纪明德文化科技园有限公司</w:t>
            </w:r>
          </w:p>
        </w:tc>
        <w:tc>
          <w:tcPr>
            <w:tcW w:w="2410" w:type="dxa"/>
          </w:tcPr>
          <w:p w14:paraId="13F87D20" w14:textId="77777777" w:rsidR="006F4BC7" w:rsidRPr="006B15B6" w:rsidRDefault="006F4BC7" w:rsidP="0023657C">
            <w:pPr>
              <w:widowControl/>
              <w:spacing w:line="300" w:lineRule="exact"/>
              <w:jc w:val="left"/>
              <w:rPr>
                <w:rFonts w:ascii="宋体" w:cs="宋体"/>
                <w:color w:val="000000"/>
                <w:kern w:val="0"/>
                <w:sz w:val="24"/>
                <w:szCs w:val="24"/>
              </w:rPr>
            </w:pPr>
          </w:p>
        </w:tc>
        <w:tc>
          <w:tcPr>
            <w:tcW w:w="1984" w:type="dxa"/>
            <w:vAlign w:val="center"/>
          </w:tcPr>
          <w:p w14:paraId="3EE4F523" w14:textId="77777777" w:rsidR="006F4BC7" w:rsidRPr="006B15B6" w:rsidRDefault="006F4BC7" w:rsidP="0023657C">
            <w:pPr>
              <w:widowControl/>
              <w:spacing w:line="300" w:lineRule="exact"/>
              <w:jc w:val="left"/>
              <w:rPr>
                <w:rFonts w:ascii="宋体" w:cs="宋体"/>
                <w:color w:val="000000"/>
                <w:kern w:val="0"/>
                <w:sz w:val="24"/>
                <w:szCs w:val="24"/>
              </w:rPr>
            </w:pPr>
          </w:p>
        </w:tc>
      </w:tr>
      <w:tr w:rsidR="006F4BC7" w:rsidRPr="008D25A3" w14:paraId="45ABBDDD" w14:textId="77777777" w:rsidTr="0023657C">
        <w:tc>
          <w:tcPr>
            <w:tcW w:w="2126" w:type="dxa"/>
            <w:vMerge/>
            <w:vAlign w:val="center"/>
          </w:tcPr>
          <w:p w14:paraId="582BF443" w14:textId="77777777" w:rsidR="006F4BC7" w:rsidRPr="006B15B6" w:rsidRDefault="006F4BC7" w:rsidP="0023657C">
            <w:pPr>
              <w:widowControl/>
              <w:spacing w:line="300" w:lineRule="exact"/>
              <w:jc w:val="left"/>
              <w:rPr>
                <w:rFonts w:ascii="宋体" w:cs="宋体"/>
                <w:color w:val="000000"/>
                <w:kern w:val="0"/>
                <w:sz w:val="24"/>
                <w:szCs w:val="24"/>
              </w:rPr>
            </w:pPr>
          </w:p>
        </w:tc>
        <w:tc>
          <w:tcPr>
            <w:tcW w:w="2410" w:type="dxa"/>
            <w:vAlign w:val="center"/>
          </w:tcPr>
          <w:p w14:paraId="29469777" w14:textId="77777777" w:rsidR="006F4BC7" w:rsidRPr="006B15B6" w:rsidRDefault="006F4BC7" w:rsidP="0023657C">
            <w:pPr>
              <w:widowControl/>
              <w:spacing w:line="300" w:lineRule="exact"/>
              <w:jc w:val="left"/>
              <w:rPr>
                <w:rFonts w:ascii="宋体" w:cs="宋体"/>
                <w:color w:val="000000"/>
                <w:kern w:val="0"/>
                <w:sz w:val="24"/>
                <w:szCs w:val="24"/>
              </w:rPr>
            </w:pPr>
            <w:r w:rsidRPr="006B15B6">
              <w:rPr>
                <w:rFonts w:ascii="宋体" w:hAnsi="宋体" w:cs="宋体" w:hint="eastAsia"/>
                <w:color w:val="000000"/>
                <w:kern w:val="0"/>
                <w:sz w:val="24"/>
                <w:szCs w:val="24"/>
              </w:rPr>
              <w:t>黄山市黄山区世纪太平文化科技有限公司</w:t>
            </w:r>
          </w:p>
        </w:tc>
        <w:tc>
          <w:tcPr>
            <w:tcW w:w="2410" w:type="dxa"/>
          </w:tcPr>
          <w:p w14:paraId="142D8401" w14:textId="77777777" w:rsidR="006F4BC7" w:rsidRPr="006B15B6" w:rsidRDefault="006F4BC7" w:rsidP="0023657C">
            <w:pPr>
              <w:widowControl/>
              <w:spacing w:line="300" w:lineRule="exact"/>
              <w:jc w:val="left"/>
              <w:rPr>
                <w:rFonts w:ascii="宋体" w:cs="宋体"/>
                <w:color w:val="000000"/>
                <w:kern w:val="0"/>
                <w:sz w:val="24"/>
                <w:szCs w:val="24"/>
              </w:rPr>
            </w:pPr>
          </w:p>
        </w:tc>
        <w:tc>
          <w:tcPr>
            <w:tcW w:w="1984" w:type="dxa"/>
            <w:vAlign w:val="center"/>
          </w:tcPr>
          <w:p w14:paraId="312DD0B0" w14:textId="77777777" w:rsidR="006F4BC7" w:rsidRPr="006B15B6" w:rsidRDefault="006F4BC7" w:rsidP="0023657C">
            <w:pPr>
              <w:widowControl/>
              <w:spacing w:line="300" w:lineRule="exact"/>
              <w:jc w:val="left"/>
              <w:rPr>
                <w:rFonts w:ascii="宋体" w:cs="宋体"/>
                <w:color w:val="000000"/>
                <w:kern w:val="0"/>
                <w:sz w:val="24"/>
                <w:szCs w:val="24"/>
              </w:rPr>
            </w:pPr>
          </w:p>
        </w:tc>
      </w:tr>
      <w:tr w:rsidR="006F4BC7" w:rsidRPr="008D25A3" w14:paraId="3A52581D" w14:textId="77777777" w:rsidTr="0023657C">
        <w:tc>
          <w:tcPr>
            <w:tcW w:w="2126" w:type="dxa"/>
            <w:vMerge/>
            <w:tcBorders>
              <w:bottom w:val="single" w:sz="12" w:space="0" w:color="auto"/>
            </w:tcBorders>
            <w:vAlign w:val="center"/>
          </w:tcPr>
          <w:p w14:paraId="689F9D87" w14:textId="77777777" w:rsidR="006F4BC7" w:rsidRPr="006B15B6" w:rsidRDefault="006F4BC7" w:rsidP="0023657C">
            <w:pPr>
              <w:widowControl/>
              <w:spacing w:line="300" w:lineRule="exact"/>
              <w:jc w:val="left"/>
              <w:rPr>
                <w:rFonts w:ascii="宋体" w:cs="宋体"/>
                <w:color w:val="000000"/>
                <w:kern w:val="0"/>
                <w:sz w:val="24"/>
                <w:szCs w:val="24"/>
              </w:rPr>
            </w:pPr>
          </w:p>
        </w:tc>
        <w:tc>
          <w:tcPr>
            <w:tcW w:w="2410" w:type="dxa"/>
            <w:tcBorders>
              <w:bottom w:val="single" w:sz="12" w:space="0" w:color="auto"/>
            </w:tcBorders>
            <w:vAlign w:val="center"/>
          </w:tcPr>
          <w:p w14:paraId="4E6B2081" w14:textId="77777777" w:rsidR="006F4BC7" w:rsidRPr="006B15B6" w:rsidRDefault="006F4BC7" w:rsidP="0023657C">
            <w:pPr>
              <w:widowControl/>
              <w:spacing w:line="300" w:lineRule="exact"/>
              <w:jc w:val="left"/>
              <w:rPr>
                <w:rFonts w:ascii="宋体" w:cs="宋体"/>
                <w:color w:val="000000"/>
                <w:kern w:val="0"/>
                <w:sz w:val="24"/>
                <w:szCs w:val="24"/>
              </w:rPr>
            </w:pPr>
            <w:r w:rsidRPr="006B15B6">
              <w:rPr>
                <w:rFonts w:ascii="宋体" w:hAnsi="宋体" w:cs="宋体" w:hint="eastAsia"/>
                <w:kern w:val="0"/>
                <w:sz w:val="24"/>
                <w:szCs w:val="24"/>
              </w:rPr>
              <w:t>人大数</w:t>
            </w:r>
            <w:proofErr w:type="gramStart"/>
            <w:r w:rsidRPr="006B15B6">
              <w:rPr>
                <w:rFonts w:ascii="宋体" w:hAnsi="宋体" w:cs="宋体" w:hint="eastAsia"/>
                <w:kern w:val="0"/>
                <w:sz w:val="24"/>
                <w:szCs w:val="24"/>
              </w:rPr>
              <w:t>媒</w:t>
            </w:r>
            <w:proofErr w:type="gramEnd"/>
            <w:r w:rsidRPr="006B15B6">
              <w:rPr>
                <w:rFonts w:ascii="宋体" w:hAnsi="宋体" w:cs="宋体" w:hint="eastAsia"/>
                <w:kern w:val="0"/>
                <w:sz w:val="24"/>
                <w:szCs w:val="24"/>
              </w:rPr>
              <w:t>科技（北京）有限公司</w:t>
            </w:r>
          </w:p>
        </w:tc>
        <w:tc>
          <w:tcPr>
            <w:tcW w:w="2410" w:type="dxa"/>
            <w:tcBorders>
              <w:bottom w:val="single" w:sz="12" w:space="0" w:color="auto"/>
            </w:tcBorders>
          </w:tcPr>
          <w:p w14:paraId="7ECAD43E" w14:textId="77777777" w:rsidR="006F4BC7" w:rsidRPr="006B15B6" w:rsidRDefault="006F4BC7" w:rsidP="0023657C">
            <w:pPr>
              <w:widowControl/>
              <w:spacing w:line="300" w:lineRule="exact"/>
              <w:jc w:val="left"/>
              <w:rPr>
                <w:rFonts w:ascii="宋体" w:cs="宋体"/>
                <w:color w:val="000000"/>
                <w:kern w:val="0"/>
                <w:sz w:val="24"/>
                <w:szCs w:val="24"/>
              </w:rPr>
            </w:pPr>
          </w:p>
        </w:tc>
        <w:tc>
          <w:tcPr>
            <w:tcW w:w="1984" w:type="dxa"/>
            <w:tcBorders>
              <w:bottom w:val="single" w:sz="12" w:space="0" w:color="auto"/>
            </w:tcBorders>
            <w:vAlign w:val="center"/>
          </w:tcPr>
          <w:p w14:paraId="463D577E" w14:textId="77777777" w:rsidR="006F4BC7" w:rsidRPr="006B15B6" w:rsidRDefault="006F4BC7" w:rsidP="0023657C">
            <w:pPr>
              <w:widowControl/>
              <w:spacing w:line="300" w:lineRule="exact"/>
              <w:jc w:val="left"/>
              <w:rPr>
                <w:rFonts w:ascii="宋体" w:cs="宋体"/>
                <w:color w:val="000000"/>
                <w:kern w:val="0"/>
                <w:sz w:val="24"/>
                <w:szCs w:val="24"/>
              </w:rPr>
            </w:pPr>
            <w:r w:rsidRPr="006B15B6">
              <w:rPr>
                <w:rFonts w:ascii="宋体" w:hAnsi="宋体" w:cs="宋体"/>
                <w:color w:val="000000"/>
                <w:kern w:val="0"/>
                <w:sz w:val="24"/>
                <w:szCs w:val="24"/>
              </w:rPr>
              <w:t>2018</w:t>
            </w:r>
            <w:r w:rsidRPr="006B15B6">
              <w:rPr>
                <w:rFonts w:ascii="宋体" w:hAnsi="宋体" w:cs="宋体" w:hint="eastAsia"/>
                <w:color w:val="000000"/>
                <w:kern w:val="0"/>
                <w:sz w:val="24"/>
                <w:szCs w:val="24"/>
              </w:rPr>
              <w:t>年</w:t>
            </w:r>
            <w:r w:rsidRPr="006B15B6">
              <w:rPr>
                <w:rFonts w:ascii="宋体" w:hAnsi="宋体" w:cs="宋体"/>
                <w:color w:val="000000"/>
                <w:kern w:val="0"/>
                <w:sz w:val="24"/>
                <w:szCs w:val="24"/>
              </w:rPr>
              <w:t>6</w:t>
            </w:r>
            <w:r w:rsidRPr="006B15B6">
              <w:rPr>
                <w:rFonts w:ascii="宋体" w:hAnsi="宋体" w:cs="宋体" w:hint="eastAsia"/>
                <w:color w:val="000000"/>
                <w:kern w:val="0"/>
                <w:sz w:val="24"/>
                <w:szCs w:val="24"/>
              </w:rPr>
              <w:t>月由书报中心无偿划转至资产公司</w:t>
            </w:r>
          </w:p>
        </w:tc>
      </w:tr>
      <w:tr w:rsidR="006F4BC7" w:rsidRPr="008D25A3" w14:paraId="36E4AA7B" w14:textId="77777777" w:rsidTr="0023657C">
        <w:tc>
          <w:tcPr>
            <w:tcW w:w="2126" w:type="dxa"/>
            <w:tcBorders>
              <w:top w:val="single" w:sz="12" w:space="0" w:color="auto"/>
            </w:tcBorders>
            <w:vAlign w:val="center"/>
          </w:tcPr>
          <w:p w14:paraId="040B1420" w14:textId="77777777" w:rsidR="006F4BC7" w:rsidRPr="006B15B6" w:rsidRDefault="006F4BC7" w:rsidP="0023657C">
            <w:pPr>
              <w:widowControl/>
              <w:spacing w:line="300" w:lineRule="exact"/>
              <w:jc w:val="left"/>
              <w:rPr>
                <w:rFonts w:ascii="宋体" w:cs="宋体"/>
                <w:color w:val="000000"/>
                <w:kern w:val="0"/>
                <w:sz w:val="24"/>
                <w:szCs w:val="24"/>
              </w:rPr>
            </w:pPr>
            <w:r w:rsidRPr="006B15B6">
              <w:rPr>
                <w:rFonts w:ascii="宋体" w:hAnsi="宋体" w:cs="宋体" w:hint="eastAsia"/>
                <w:color w:val="000000"/>
                <w:kern w:val="0"/>
                <w:sz w:val="24"/>
                <w:szCs w:val="24"/>
              </w:rPr>
              <w:lastRenderedPageBreak/>
              <w:t>中国人民大学书报资料中心（企业化管理事业单位）</w:t>
            </w:r>
          </w:p>
        </w:tc>
        <w:tc>
          <w:tcPr>
            <w:tcW w:w="2410" w:type="dxa"/>
            <w:tcBorders>
              <w:top w:val="single" w:sz="12" w:space="0" w:color="auto"/>
            </w:tcBorders>
            <w:vAlign w:val="center"/>
          </w:tcPr>
          <w:p w14:paraId="380FBCF5" w14:textId="77777777" w:rsidR="006F4BC7" w:rsidRPr="006B15B6" w:rsidRDefault="006F4BC7" w:rsidP="0023657C">
            <w:pPr>
              <w:widowControl/>
              <w:spacing w:line="300" w:lineRule="exact"/>
              <w:jc w:val="left"/>
              <w:rPr>
                <w:rFonts w:ascii="宋体" w:cs="宋体"/>
                <w:color w:val="000000"/>
                <w:kern w:val="0"/>
                <w:sz w:val="24"/>
                <w:szCs w:val="24"/>
              </w:rPr>
            </w:pPr>
          </w:p>
        </w:tc>
        <w:tc>
          <w:tcPr>
            <w:tcW w:w="2410" w:type="dxa"/>
            <w:tcBorders>
              <w:top w:val="single" w:sz="12" w:space="0" w:color="auto"/>
            </w:tcBorders>
            <w:vAlign w:val="center"/>
          </w:tcPr>
          <w:p w14:paraId="4ED0D8B9" w14:textId="77777777" w:rsidR="006F4BC7" w:rsidRPr="006B15B6" w:rsidRDefault="006F4BC7" w:rsidP="0023657C">
            <w:pPr>
              <w:widowControl/>
              <w:spacing w:line="300" w:lineRule="exact"/>
              <w:rPr>
                <w:rFonts w:ascii="宋体" w:cs="宋体"/>
                <w:color w:val="000000"/>
                <w:kern w:val="0"/>
                <w:sz w:val="24"/>
                <w:szCs w:val="24"/>
              </w:rPr>
            </w:pPr>
          </w:p>
        </w:tc>
        <w:tc>
          <w:tcPr>
            <w:tcW w:w="1984" w:type="dxa"/>
            <w:tcBorders>
              <w:top w:val="single" w:sz="12" w:space="0" w:color="auto"/>
            </w:tcBorders>
            <w:vAlign w:val="center"/>
          </w:tcPr>
          <w:p w14:paraId="3D170341" w14:textId="77777777" w:rsidR="006F4BC7" w:rsidRPr="006B15B6" w:rsidRDefault="006F4BC7" w:rsidP="0023657C">
            <w:pPr>
              <w:widowControl/>
              <w:spacing w:line="300" w:lineRule="exact"/>
              <w:jc w:val="left"/>
              <w:rPr>
                <w:rFonts w:ascii="宋体" w:cs="宋体"/>
                <w:color w:val="000000"/>
                <w:kern w:val="0"/>
                <w:sz w:val="24"/>
                <w:szCs w:val="24"/>
              </w:rPr>
            </w:pPr>
          </w:p>
        </w:tc>
      </w:tr>
    </w:tbl>
    <w:p w14:paraId="7D6D10AA" w14:textId="77777777" w:rsidR="006F4BC7" w:rsidRPr="0077624D" w:rsidRDefault="006F4BC7" w:rsidP="0077624D">
      <w:pPr>
        <w:spacing w:line="560" w:lineRule="exact"/>
        <w:ind w:firstLineChars="200" w:firstLine="643"/>
        <w:rPr>
          <w:rFonts w:ascii="楷体" w:eastAsia="楷体" w:hAnsi="楷体"/>
          <w:b/>
          <w:sz w:val="32"/>
          <w:szCs w:val="32"/>
        </w:rPr>
      </w:pPr>
      <w:r w:rsidRPr="0077624D">
        <w:rPr>
          <w:rFonts w:ascii="楷体" w:eastAsia="楷体" w:hAnsi="楷体" w:hint="eastAsia"/>
          <w:b/>
          <w:sz w:val="32"/>
          <w:szCs w:val="32"/>
        </w:rPr>
        <w:t>（二）企业职工基本情况</w:t>
      </w:r>
    </w:p>
    <w:p w14:paraId="5C253DBF" w14:textId="77777777" w:rsidR="006F4BC7" w:rsidRPr="0077624D" w:rsidRDefault="006F4BC7" w:rsidP="0077624D">
      <w:pPr>
        <w:spacing w:line="560" w:lineRule="exact"/>
        <w:ind w:firstLine="645"/>
        <w:rPr>
          <w:rFonts w:ascii="仿宋" w:eastAsia="仿宋" w:hAnsi="仿宋"/>
          <w:sz w:val="32"/>
          <w:szCs w:val="32"/>
        </w:rPr>
      </w:pPr>
      <w:r w:rsidRPr="0077624D">
        <w:rPr>
          <w:rFonts w:ascii="仿宋" w:eastAsia="仿宋" w:hAnsi="仿宋"/>
          <w:sz w:val="32"/>
          <w:szCs w:val="32"/>
        </w:rPr>
        <w:t>2019</w:t>
      </w:r>
      <w:r w:rsidRPr="0077624D">
        <w:rPr>
          <w:rFonts w:ascii="仿宋" w:eastAsia="仿宋" w:hAnsi="仿宋" w:hint="eastAsia"/>
          <w:sz w:val="32"/>
          <w:szCs w:val="32"/>
        </w:rPr>
        <w:t>年我校全年企业平均职工人数为</w:t>
      </w:r>
      <w:r w:rsidRPr="0077624D">
        <w:rPr>
          <w:rFonts w:ascii="仿宋" w:eastAsia="仿宋" w:hAnsi="仿宋"/>
          <w:sz w:val="32"/>
          <w:szCs w:val="32"/>
        </w:rPr>
        <w:t>1237</w:t>
      </w:r>
      <w:r w:rsidRPr="0077624D">
        <w:rPr>
          <w:rFonts w:ascii="仿宋" w:eastAsia="仿宋" w:hAnsi="仿宋" w:hint="eastAsia"/>
          <w:sz w:val="32"/>
          <w:szCs w:val="32"/>
        </w:rPr>
        <w:t>人，全年实际发放职工薪</w:t>
      </w:r>
      <w:proofErr w:type="gramStart"/>
      <w:r w:rsidRPr="0077624D">
        <w:rPr>
          <w:rFonts w:ascii="仿宋" w:eastAsia="仿宋" w:hAnsi="仿宋" w:hint="eastAsia"/>
          <w:sz w:val="32"/>
          <w:szCs w:val="32"/>
        </w:rPr>
        <w:t>酬</w:t>
      </w:r>
      <w:proofErr w:type="gramEnd"/>
      <w:r w:rsidRPr="0077624D">
        <w:rPr>
          <w:rFonts w:ascii="仿宋" w:eastAsia="仿宋" w:hAnsi="仿宋"/>
          <w:sz w:val="32"/>
          <w:szCs w:val="32"/>
        </w:rPr>
        <w:t>18572</w:t>
      </w:r>
      <w:r w:rsidRPr="0077624D">
        <w:rPr>
          <w:rFonts w:ascii="仿宋" w:eastAsia="仿宋" w:hAnsi="仿宋" w:hint="eastAsia"/>
          <w:sz w:val="32"/>
          <w:szCs w:val="32"/>
        </w:rPr>
        <w:t>万元，平均薪酬为</w:t>
      </w:r>
      <w:r w:rsidRPr="0077624D">
        <w:rPr>
          <w:rFonts w:ascii="仿宋" w:eastAsia="仿宋" w:hAnsi="仿宋"/>
          <w:sz w:val="32"/>
          <w:szCs w:val="32"/>
        </w:rPr>
        <w:t>15.01</w:t>
      </w:r>
      <w:r w:rsidRPr="0077624D">
        <w:rPr>
          <w:rFonts w:ascii="仿宋" w:eastAsia="仿宋" w:hAnsi="仿宋" w:hint="eastAsia"/>
          <w:sz w:val="32"/>
          <w:szCs w:val="32"/>
        </w:rPr>
        <w:t>万元。</w:t>
      </w:r>
    </w:p>
    <w:p w14:paraId="1BBEA91F" w14:textId="77777777" w:rsidR="006F4BC7" w:rsidRPr="0077624D" w:rsidRDefault="006F4BC7" w:rsidP="0077624D">
      <w:pPr>
        <w:spacing w:line="560" w:lineRule="exact"/>
        <w:ind w:firstLineChars="200" w:firstLine="643"/>
        <w:rPr>
          <w:rFonts w:ascii="楷体" w:eastAsia="楷体" w:hAnsi="楷体"/>
          <w:b/>
          <w:sz w:val="32"/>
          <w:szCs w:val="32"/>
        </w:rPr>
      </w:pPr>
      <w:r w:rsidRPr="0077624D">
        <w:rPr>
          <w:rFonts w:ascii="楷体" w:eastAsia="楷体" w:hAnsi="楷体" w:hint="eastAsia"/>
          <w:b/>
          <w:sz w:val="32"/>
          <w:szCs w:val="32"/>
        </w:rPr>
        <w:t>（三）会计准则执行情况</w:t>
      </w:r>
    </w:p>
    <w:p w14:paraId="7C6AD0D7" w14:textId="77777777" w:rsidR="006F4BC7" w:rsidRPr="0077624D" w:rsidRDefault="006F4BC7" w:rsidP="0077624D">
      <w:pPr>
        <w:spacing w:line="560" w:lineRule="exact"/>
        <w:ind w:firstLine="645"/>
        <w:rPr>
          <w:rFonts w:ascii="仿宋" w:eastAsia="仿宋" w:hAnsi="仿宋"/>
          <w:sz w:val="32"/>
          <w:szCs w:val="32"/>
        </w:rPr>
      </w:pPr>
      <w:r w:rsidRPr="0077624D">
        <w:rPr>
          <w:rFonts w:ascii="仿宋" w:eastAsia="仿宋" w:hAnsi="仿宋" w:hint="eastAsia"/>
          <w:sz w:val="32"/>
          <w:szCs w:val="32"/>
        </w:rPr>
        <w:t>我校资产公司及下属合并范围内的子公司自</w:t>
      </w:r>
      <w:r w:rsidRPr="0077624D">
        <w:rPr>
          <w:rFonts w:ascii="仿宋" w:eastAsia="仿宋" w:hAnsi="仿宋"/>
          <w:sz w:val="32"/>
          <w:szCs w:val="32"/>
        </w:rPr>
        <w:t>2017</w:t>
      </w:r>
      <w:r w:rsidRPr="0077624D">
        <w:rPr>
          <w:rFonts w:ascii="仿宋" w:eastAsia="仿宋" w:hAnsi="仿宋" w:hint="eastAsia"/>
          <w:sz w:val="32"/>
          <w:szCs w:val="32"/>
        </w:rPr>
        <w:t>年起开始执行《企业会计准则》；书报中心为企业化管理事业单位，目前仍执行企业会计制度。</w:t>
      </w:r>
    </w:p>
    <w:p w14:paraId="28DACC5B" w14:textId="77777777" w:rsidR="006F4BC7" w:rsidRDefault="006F4BC7" w:rsidP="00B0216D">
      <w:pPr>
        <w:ind w:firstLineChars="200" w:firstLine="560"/>
        <w:rPr>
          <w:rFonts w:ascii="仿宋_GB2312" w:eastAsia="仿宋_GB2312" w:hAnsi="宋体"/>
          <w:b/>
          <w:sz w:val="28"/>
          <w:szCs w:val="28"/>
        </w:rPr>
      </w:pPr>
    </w:p>
    <w:p w14:paraId="6CDE8976" w14:textId="77777777" w:rsidR="006F4BC7" w:rsidRPr="00763857" w:rsidRDefault="006F4BC7" w:rsidP="00763857">
      <w:pPr>
        <w:ind w:firstLineChars="196" w:firstLine="627"/>
        <w:rPr>
          <w:rFonts w:ascii="黑体" w:eastAsia="黑体" w:hAnsi="黑体"/>
          <w:bCs/>
          <w:sz w:val="32"/>
          <w:szCs w:val="32"/>
        </w:rPr>
      </w:pPr>
      <w:r w:rsidRPr="00763857">
        <w:rPr>
          <w:rFonts w:ascii="黑体" w:eastAsia="黑体" w:hAnsi="黑体" w:hint="eastAsia"/>
          <w:bCs/>
          <w:sz w:val="32"/>
          <w:szCs w:val="32"/>
        </w:rPr>
        <w:t>二、财务状况分析</w:t>
      </w:r>
    </w:p>
    <w:p w14:paraId="304C5BDE" w14:textId="77777777" w:rsidR="006F4BC7" w:rsidRPr="0077624D" w:rsidRDefault="006F4BC7" w:rsidP="0077624D">
      <w:pPr>
        <w:spacing w:line="560" w:lineRule="exact"/>
        <w:ind w:firstLine="645"/>
        <w:rPr>
          <w:rFonts w:ascii="仿宋" w:eastAsia="仿宋" w:hAnsi="仿宋"/>
          <w:sz w:val="32"/>
          <w:szCs w:val="32"/>
        </w:rPr>
      </w:pPr>
      <w:r w:rsidRPr="0077624D">
        <w:rPr>
          <w:rFonts w:ascii="仿宋" w:eastAsia="仿宋" w:hAnsi="仿宋"/>
          <w:sz w:val="32"/>
          <w:szCs w:val="32"/>
        </w:rPr>
        <w:t>2019</w:t>
      </w:r>
      <w:r w:rsidRPr="0077624D">
        <w:rPr>
          <w:rFonts w:ascii="仿宋" w:eastAsia="仿宋" w:hAnsi="仿宋" w:hint="eastAsia"/>
          <w:sz w:val="32"/>
          <w:szCs w:val="32"/>
        </w:rPr>
        <w:t>年度，我校企业整体财务状况如下：</w:t>
      </w:r>
    </w:p>
    <w:p w14:paraId="7C6D31FB" w14:textId="77777777" w:rsidR="006F4BC7" w:rsidRPr="0077624D" w:rsidRDefault="006F4BC7" w:rsidP="0077624D">
      <w:pPr>
        <w:spacing w:line="560" w:lineRule="exact"/>
        <w:ind w:firstLine="645"/>
        <w:rPr>
          <w:rFonts w:ascii="仿宋" w:eastAsia="仿宋" w:hAnsi="仿宋"/>
          <w:sz w:val="32"/>
          <w:szCs w:val="32"/>
        </w:rPr>
      </w:pPr>
      <w:r w:rsidRPr="0077624D">
        <w:rPr>
          <w:rFonts w:ascii="仿宋" w:eastAsia="仿宋" w:hAnsi="仿宋" w:hint="eastAsia"/>
          <w:sz w:val="32"/>
          <w:szCs w:val="32"/>
        </w:rPr>
        <w:t>资产总额</w:t>
      </w:r>
      <w:r w:rsidRPr="0077624D">
        <w:rPr>
          <w:rFonts w:ascii="仿宋" w:eastAsia="仿宋" w:hAnsi="仿宋"/>
          <w:sz w:val="32"/>
          <w:szCs w:val="32"/>
        </w:rPr>
        <w:t>171465.21</w:t>
      </w:r>
      <w:r w:rsidRPr="0077624D">
        <w:rPr>
          <w:rFonts w:ascii="仿宋" w:eastAsia="仿宋" w:hAnsi="仿宋" w:hint="eastAsia"/>
          <w:sz w:val="32"/>
          <w:szCs w:val="32"/>
        </w:rPr>
        <w:t>万元，比期初</w:t>
      </w:r>
      <w:r w:rsidRPr="0077624D">
        <w:rPr>
          <w:rFonts w:ascii="仿宋" w:eastAsia="仿宋" w:hAnsi="仿宋"/>
          <w:sz w:val="32"/>
          <w:szCs w:val="32"/>
        </w:rPr>
        <w:t>160173.70</w:t>
      </w:r>
      <w:r w:rsidRPr="0077624D">
        <w:rPr>
          <w:rFonts w:ascii="仿宋" w:eastAsia="仿宋" w:hAnsi="仿宋" w:hint="eastAsia"/>
          <w:sz w:val="32"/>
          <w:szCs w:val="32"/>
        </w:rPr>
        <w:t>万元增加</w:t>
      </w:r>
      <w:r w:rsidRPr="0077624D">
        <w:rPr>
          <w:rFonts w:ascii="仿宋" w:eastAsia="仿宋" w:hAnsi="仿宋"/>
          <w:sz w:val="32"/>
          <w:szCs w:val="32"/>
        </w:rPr>
        <w:t>11291.51</w:t>
      </w:r>
      <w:r w:rsidRPr="0077624D">
        <w:rPr>
          <w:rFonts w:ascii="仿宋" w:eastAsia="仿宋" w:hAnsi="仿宋" w:hint="eastAsia"/>
          <w:sz w:val="32"/>
          <w:szCs w:val="32"/>
        </w:rPr>
        <w:t>万元，增长</w:t>
      </w:r>
      <w:r w:rsidRPr="0077624D">
        <w:rPr>
          <w:rFonts w:ascii="仿宋" w:eastAsia="仿宋" w:hAnsi="仿宋"/>
          <w:sz w:val="32"/>
          <w:szCs w:val="32"/>
        </w:rPr>
        <w:t>7.05%</w:t>
      </w:r>
      <w:r w:rsidRPr="0077624D">
        <w:rPr>
          <w:rFonts w:ascii="仿宋" w:eastAsia="仿宋" w:hAnsi="仿宋" w:hint="eastAsia"/>
          <w:sz w:val="32"/>
          <w:szCs w:val="32"/>
        </w:rPr>
        <w:t>。其中，流动资产</w:t>
      </w:r>
      <w:r w:rsidRPr="0077624D">
        <w:rPr>
          <w:rFonts w:ascii="仿宋" w:eastAsia="仿宋" w:hAnsi="仿宋"/>
          <w:sz w:val="32"/>
          <w:szCs w:val="32"/>
        </w:rPr>
        <w:t>157168.96</w:t>
      </w:r>
      <w:r w:rsidRPr="0077624D">
        <w:rPr>
          <w:rFonts w:ascii="仿宋" w:eastAsia="仿宋" w:hAnsi="仿宋" w:hint="eastAsia"/>
          <w:sz w:val="32"/>
          <w:szCs w:val="32"/>
        </w:rPr>
        <w:t>万元，占资产总额的</w:t>
      </w:r>
      <w:r w:rsidRPr="0077624D">
        <w:rPr>
          <w:rFonts w:ascii="仿宋" w:eastAsia="仿宋" w:hAnsi="仿宋"/>
          <w:sz w:val="32"/>
          <w:szCs w:val="32"/>
        </w:rPr>
        <w:t>91.66%</w:t>
      </w:r>
      <w:r w:rsidRPr="0077624D">
        <w:rPr>
          <w:rFonts w:ascii="仿宋" w:eastAsia="仿宋" w:hAnsi="仿宋" w:hint="eastAsia"/>
          <w:sz w:val="32"/>
          <w:szCs w:val="32"/>
        </w:rPr>
        <w:t>；非流动资产</w:t>
      </w:r>
      <w:r w:rsidRPr="0077624D">
        <w:rPr>
          <w:rFonts w:ascii="仿宋" w:eastAsia="仿宋" w:hAnsi="仿宋"/>
          <w:sz w:val="32"/>
          <w:szCs w:val="32"/>
        </w:rPr>
        <w:t>14296.25</w:t>
      </w:r>
      <w:r w:rsidRPr="0077624D">
        <w:rPr>
          <w:rFonts w:ascii="仿宋" w:eastAsia="仿宋" w:hAnsi="仿宋" w:hint="eastAsia"/>
          <w:sz w:val="32"/>
          <w:szCs w:val="32"/>
        </w:rPr>
        <w:t>万元，占资产总额的</w:t>
      </w:r>
      <w:r w:rsidRPr="0077624D">
        <w:rPr>
          <w:rFonts w:ascii="仿宋" w:eastAsia="仿宋" w:hAnsi="仿宋"/>
          <w:sz w:val="32"/>
          <w:szCs w:val="32"/>
        </w:rPr>
        <w:t>8.34%</w:t>
      </w:r>
      <w:r w:rsidRPr="0077624D">
        <w:rPr>
          <w:rFonts w:ascii="仿宋" w:eastAsia="仿宋" w:hAnsi="仿宋" w:hint="eastAsia"/>
          <w:sz w:val="32"/>
          <w:szCs w:val="32"/>
        </w:rPr>
        <w:t>。</w:t>
      </w:r>
    </w:p>
    <w:p w14:paraId="04235E54" w14:textId="77777777" w:rsidR="006F4BC7" w:rsidRPr="0077624D" w:rsidRDefault="006F4BC7" w:rsidP="0077624D">
      <w:pPr>
        <w:spacing w:line="560" w:lineRule="exact"/>
        <w:ind w:firstLine="645"/>
        <w:rPr>
          <w:rFonts w:ascii="仿宋" w:eastAsia="仿宋" w:hAnsi="仿宋"/>
          <w:sz w:val="32"/>
          <w:szCs w:val="32"/>
        </w:rPr>
      </w:pPr>
      <w:r w:rsidRPr="0077624D">
        <w:rPr>
          <w:rFonts w:ascii="仿宋" w:eastAsia="仿宋" w:hAnsi="仿宋" w:hint="eastAsia"/>
          <w:sz w:val="32"/>
          <w:szCs w:val="32"/>
        </w:rPr>
        <w:t>负债总额</w:t>
      </w:r>
      <w:r w:rsidRPr="0077624D">
        <w:rPr>
          <w:rFonts w:ascii="仿宋" w:eastAsia="仿宋" w:hAnsi="仿宋"/>
          <w:sz w:val="32"/>
          <w:szCs w:val="32"/>
        </w:rPr>
        <w:t>21463.03</w:t>
      </w:r>
      <w:r w:rsidRPr="0077624D">
        <w:rPr>
          <w:rFonts w:ascii="仿宋" w:eastAsia="仿宋" w:hAnsi="仿宋" w:hint="eastAsia"/>
          <w:sz w:val="32"/>
          <w:szCs w:val="32"/>
        </w:rPr>
        <w:t>万元，比期初</w:t>
      </w:r>
      <w:r w:rsidRPr="0077624D">
        <w:rPr>
          <w:rFonts w:ascii="仿宋" w:eastAsia="仿宋" w:hAnsi="仿宋"/>
          <w:sz w:val="32"/>
          <w:szCs w:val="32"/>
        </w:rPr>
        <w:t>22575.61</w:t>
      </w:r>
      <w:r w:rsidRPr="0077624D">
        <w:rPr>
          <w:rFonts w:ascii="仿宋" w:eastAsia="仿宋" w:hAnsi="仿宋" w:hint="eastAsia"/>
          <w:sz w:val="32"/>
          <w:szCs w:val="32"/>
        </w:rPr>
        <w:t>万元减少</w:t>
      </w:r>
      <w:r w:rsidRPr="0077624D">
        <w:rPr>
          <w:rFonts w:ascii="仿宋" w:eastAsia="仿宋" w:hAnsi="仿宋"/>
          <w:sz w:val="32"/>
          <w:szCs w:val="32"/>
        </w:rPr>
        <w:t>1112.58</w:t>
      </w:r>
      <w:r w:rsidRPr="0077624D">
        <w:rPr>
          <w:rFonts w:ascii="仿宋" w:eastAsia="仿宋" w:hAnsi="仿宋" w:hint="eastAsia"/>
          <w:sz w:val="32"/>
          <w:szCs w:val="32"/>
        </w:rPr>
        <w:t>万元，减少</w:t>
      </w:r>
      <w:r w:rsidRPr="0077624D">
        <w:rPr>
          <w:rFonts w:ascii="仿宋" w:eastAsia="仿宋" w:hAnsi="仿宋"/>
          <w:sz w:val="32"/>
          <w:szCs w:val="32"/>
        </w:rPr>
        <w:t>4.93%</w:t>
      </w:r>
      <w:r w:rsidRPr="0077624D">
        <w:rPr>
          <w:rFonts w:ascii="仿宋" w:eastAsia="仿宋" w:hAnsi="仿宋" w:hint="eastAsia"/>
          <w:sz w:val="32"/>
          <w:szCs w:val="32"/>
        </w:rPr>
        <w:t>。其中，流动负债</w:t>
      </w:r>
      <w:r w:rsidRPr="0077624D">
        <w:rPr>
          <w:rFonts w:ascii="仿宋" w:eastAsia="仿宋" w:hAnsi="仿宋"/>
          <w:sz w:val="32"/>
          <w:szCs w:val="32"/>
        </w:rPr>
        <w:t>15375.71</w:t>
      </w:r>
      <w:r w:rsidRPr="0077624D">
        <w:rPr>
          <w:rFonts w:ascii="仿宋" w:eastAsia="仿宋" w:hAnsi="仿宋" w:hint="eastAsia"/>
          <w:sz w:val="32"/>
          <w:szCs w:val="32"/>
        </w:rPr>
        <w:t>万元，占负债总额的</w:t>
      </w:r>
      <w:r w:rsidRPr="0077624D">
        <w:rPr>
          <w:rFonts w:ascii="仿宋" w:eastAsia="仿宋" w:hAnsi="仿宋"/>
          <w:sz w:val="32"/>
          <w:szCs w:val="32"/>
        </w:rPr>
        <w:t>71.64%</w:t>
      </w:r>
      <w:r w:rsidRPr="0077624D">
        <w:rPr>
          <w:rFonts w:ascii="仿宋" w:eastAsia="仿宋" w:hAnsi="仿宋" w:hint="eastAsia"/>
          <w:sz w:val="32"/>
          <w:szCs w:val="32"/>
        </w:rPr>
        <w:t>；非流动负债</w:t>
      </w:r>
      <w:r w:rsidRPr="0077624D">
        <w:rPr>
          <w:rFonts w:ascii="仿宋" w:eastAsia="仿宋" w:hAnsi="仿宋"/>
          <w:sz w:val="32"/>
          <w:szCs w:val="32"/>
        </w:rPr>
        <w:t>6087.32</w:t>
      </w:r>
      <w:r w:rsidRPr="0077624D">
        <w:rPr>
          <w:rFonts w:ascii="仿宋" w:eastAsia="仿宋" w:hAnsi="仿宋" w:hint="eastAsia"/>
          <w:sz w:val="32"/>
          <w:szCs w:val="32"/>
        </w:rPr>
        <w:t>万元（长期应付款</w:t>
      </w:r>
      <w:r w:rsidRPr="0077624D">
        <w:rPr>
          <w:rFonts w:ascii="仿宋" w:eastAsia="仿宋" w:hAnsi="仿宋"/>
          <w:sz w:val="32"/>
          <w:szCs w:val="32"/>
        </w:rPr>
        <w:t>4127.92</w:t>
      </w:r>
      <w:r w:rsidRPr="0077624D">
        <w:rPr>
          <w:rFonts w:ascii="仿宋" w:eastAsia="仿宋" w:hAnsi="仿宋" w:hint="eastAsia"/>
          <w:sz w:val="32"/>
          <w:szCs w:val="32"/>
        </w:rPr>
        <w:t>万元、递延收益</w:t>
      </w:r>
      <w:r w:rsidRPr="0077624D">
        <w:rPr>
          <w:rFonts w:ascii="仿宋" w:eastAsia="仿宋" w:hAnsi="仿宋"/>
          <w:sz w:val="32"/>
          <w:szCs w:val="32"/>
        </w:rPr>
        <w:t>1959.40</w:t>
      </w:r>
      <w:r w:rsidRPr="0077624D">
        <w:rPr>
          <w:rFonts w:ascii="仿宋" w:eastAsia="仿宋" w:hAnsi="仿宋" w:hint="eastAsia"/>
          <w:sz w:val="32"/>
          <w:szCs w:val="32"/>
        </w:rPr>
        <w:t>万元），占负债总额的</w:t>
      </w:r>
      <w:r w:rsidRPr="0077624D">
        <w:rPr>
          <w:rFonts w:ascii="仿宋" w:eastAsia="仿宋" w:hAnsi="仿宋"/>
          <w:sz w:val="32"/>
          <w:szCs w:val="32"/>
        </w:rPr>
        <w:t>28.36%</w:t>
      </w:r>
      <w:r w:rsidRPr="0077624D">
        <w:rPr>
          <w:rFonts w:ascii="仿宋" w:eastAsia="仿宋" w:hAnsi="仿宋" w:hint="eastAsia"/>
          <w:sz w:val="32"/>
          <w:szCs w:val="32"/>
        </w:rPr>
        <w:t>，主要为中国人民大学出版社有限公司和北京人大文化科技园建设发展有限公司申请获得的各种专项经费。</w:t>
      </w:r>
    </w:p>
    <w:p w14:paraId="5BE65E9B" w14:textId="77777777" w:rsidR="006F4BC7" w:rsidRPr="0077624D" w:rsidRDefault="006F4BC7" w:rsidP="0077624D">
      <w:pPr>
        <w:spacing w:line="560" w:lineRule="exact"/>
        <w:ind w:firstLine="645"/>
        <w:rPr>
          <w:rFonts w:ascii="仿宋" w:eastAsia="仿宋" w:hAnsi="仿宋"/>
          <w:sz w:val="32"/>
          <w:szCs w:val="32"/>
        </w:rPr>
      </w:pPr>
      <w:r w:rsidRPr="0077624D">
        <w:rPr>
          <w:rFonts w:ascii="仿宋" w:eastAsia="仿宋" w:hAnsi="仿宋" w:hint="eastAsia"/>
          <w:sz w:val="32"/>
          <w:szCs w:val="32"/>
        </w:rPr>
        <w:t>所有者权益总额</w:t>
      </w:r>
      <w:r w:rsidRPr="0077624D">
        <w:rPr>
          <w:rFonts w:ascii="仿宋" w:eastAsia="仿宋" w:hAnsi="仿宋"/>
          <w:sz w:val="32"/>
          <w:szCs w:val="32"/>
        </w:rPr>
        <w:t>150002.18</w:t>
      </w:r>
      <w:r w:rsidRPr="0077624D">
        <w:rPr>
          <w:rFonts w:ascii="仿宋" w:eastAsia="仿宋" w:hAnsi="仿宋" w:hint="eastAsia"/>
          <w:sz w:val="32"/>
          <w:szCs w:val="32"/>
        </w:rPr>
        <w:t>万元，比期初</w:t>
      </w:r>
      <w:r w:rsidRPr="0077624D">
        <w:rPr>
          <w:rFonts w:ascii="仿宋" w:eastAsia="仿宋" w:hAnsi="仿宋"/>
          <w:sz w:val="32"/>
          <w:szCs w:val="32"/>
        </w:rPr>
        <w:t>137598.08</w:t>
      </w:r>
      <w:r w:rsidRPr="0077624D">
        <w:rPr>
          <w:rFonts w:ascii="仿宋" w:eastAsia="仿宋" w:hAnsi="仿宋" w:hint="eastAsia"/>
          <w:sz w:val="32"/>
          <w:szCs w:val="32"/>
        </w:rPr>
        <w:t>万元增加</w:t>
      </w:r>
      <w:r w:rsidRPr="0077624D">
        <w:rPr>
          <w:rFonts w:ascii="仿宋" w:eastAsia="仿宋" w:hAnsi="仿宋"/>
          <w:sz w:val="32"/>
          <w:szCs w:val="32"/>
        </w:rPr>
        <w:t>12404.10</w:t>
      </w:r>
      <w:r w:rsidRPr="0077624D">
        <w:rPr>
          <w:rFonts w:ascii="仿宋" w:eastAsia="仿宋" w:hAnsi="仿宋" w:hint="eastAsia"/>
          <w:sz w:val="32"/>
          <w:szCs w:val="32"/>
        </w:rPr>
        <w:t>万元，增长</w:t>
      </w:r>
      <w:r w:rsidRPr="0077624D">
        <w:rPr>
          <w:rFonts w:ascii="仿宋" w:eastAsia="仿宋" w:hAnsi="仿宋"/>
          <w:sz w:val="32"/>
          <w:szCs w:val="32"/>
        </w:rPr>
        <w:t>9.01%</w:t>
      </w:r>
      <w:r w:rsidRPr="0077624D">
        <w:rPr>
          <w:rFonts w:ascii="仿宋" w:eastAsia="仿宋" w:hAnsi="仿宋" w:hint="eastAsia"/>
          <w:sz w:val="32"/>
          <w:szCs w:val="32"/>
        </w:rPr>
        <w:t>。</w:t>
      </w:r>
    </w:p>
    <w:p w14:paraId="2FC852F3" w14:textId="77777777" w:rsidR="006F4BC7" w:rsidRPr="0077624D" w:rsidRDefault="006F4BC7" w:rsidP="0077624D">
      <w:pPr>
        <w:spacing w:line="560" w:lineRule="exact"/>
        <w:ind w:firstLine="645"/>
        <w:rPr>
          <w:rFonts w:ascii="仿宋" w:eastAsia="仿宋" w:hAnsi="仿宋"/>
          <w:sz w:val="32"/>
          <w:szCs w:val="32"/>
        </w:rPr>
      </w:pPr>
      <w:r w:rsidRPr="0077624D">
        <w:rPr>
          <w:rFonts w:ascii="仿宋" w:eastAsia="仿宋" w:hAnsi="仿宋" w:hint="eastAsia"/>
          <w:sz w:val="32"/>
          <w:szCs w:val="32"/>
        </w:rPr>
        <w:t>归属于母公司所有者权益（国有资本权益总额）</w:t>
      </w:r>
      <w:r w:rsidRPr="0077624D">
        <w:rPr>
          <w:rFonts w:ascii="仿宋" w:eastAsia="仿宋" w:hAnsi="仿宋"/>
          <w:sz w:val="32"/>
          <w:szCs w:val="32"/>
        </w:rPr>
        <w:t>149827.48</w:t>
      </w:r>
      <w:r w:rsidRPr="0077624D">
        <w:rPr>
          <w:rFonts w:ascii="仿宋" w:eastAsia="仿宋" w:hAnsi="仿宋" w:hint="eastAsia"/>
          <w:sz w:val="32"/>
          <w:szCs w:val="32"/>
        </w:rPr>
        <w:lastRenderedPageBreak/>
        <w:t>万元，比期初</w:t>
      </w:r>
      <w:r w:rsidRPr="0077624D">
        <w:rPr>
          <w:rFonts w:ascii="仿宋" w:eastAsia="仿宋" w:hAnsi="仿宋"/>
          <w:sz w:val="32"/>
          <w:szCs w:val="32"/>
        </w:rPr>
        <w:t>137433.02</w:t>
      </w:r>
      <w:r w:rsidRPr="0077624D">
        <w:rPr>
          <w:rFonts w:ascii="仿宋" w:eastAsia="仿宋" w:hAnsi="仿宋" w:hint="eastAsia"/>
          <w:sz w:val="32"/>
          <w:szCs w:val="32"/>
        </w:rPr>
        <w:t>万元增加</w:t>
      </w:r>
      <w:r w:rsidRPr="0077624D">
        <w:rPr>
          <w:rFonts w:ascii="仿宋" w:eastAsia="仿宋" w:hAnsi="仿宋"/>
          <w:sz w:val="32"/>
          <w:szCs w:val="32"/>
        </w:rPr>
        <w:t>12394.46</w:t>
      </w:r>
      <w:r w:rsidRPr="0077624D">
        <w:rPr>
          <w:rFonts w:ascii="仿宋" w:eastAsia="仿宋" w:hAnsi="仿宋" w:hint="eastAsia"/>
          <w:sz w:val="32"/>
          <w:szCs w:val="32"/>
        </w:rPr>
        <w:t>万元，增长</w:t>
      </w:r>
      <w:r w:rsidRPr="0077624D">
        <w:rPr>
          <w:rFonts w:ascii="仿宋" w:eastAsia="仿宋" w:hAnsi="仿宋"/>
          <w:sz w:val="32"/>
          <w:szCs w:val="32"/>
        </w:rPr>
        <w:t>9.02%</w:t>
      </w:r>
      <w:r w:rsidRPr="0077624D">
        <w:rPr>
          <w:rFonts w:ascii="仿宋" w:eastAsia="仿宋" w:hAnsi="仿宋" w:hint="eastAsia"/>
          <w:sz w:val="32"/>
          <w:szCs w:val="32"/>
        </w:rPr>
        <w:t>，实现了国</w:t>
      </w:r>
      <w:proofErr w:type="gramStart"/>
      <w:r w:rsidRPr="0077624D">
        <w:rPr>
          <w:rFonts w:ascii="仿宋" w:eastAsia="仿宋" w:hAnsi="仿宋" w:hint="eastAsia"/>
          <w:sz w:val="32"/>
          <w:szCs w:val="32"/>
        </w:rPr>
        <w:t>资资产</w:t>
      </w:r>
      <w:proofErr w:type="gramEnd"/>
      <w:r w:rsidRPr="0077624D">
        <w:rPr>
          <w:rFonts w:ascii="仿宋" w:eastAsia="仿宋" w:hAnsi="仿宋" w:hint="eastAsia"/>
          <w:sz w:val="32"/>
          <w:szCs w:val="32"/>
        </w:rPr>
        <w:t>的保值增值。</w:t>
      </w:r>
    </w:p>
    <w:p w14:paraId="33230AAC" w14:textId="77777777" w:rsidR="006F4BC7" w:rsidRPr="0077624D" w:rsidRDefault="006F4BC7" w:rsidP="0077624D">
      <w:pPr>
        <w:spacing w:line="560" w:lineRule="exact"/>
        <w:ind w:firstLine="645"/>
        <w:rPr>
          <w:rFonts w:ascii="仿宋" w:eastAsia="仿宋" w:hAnsi="仿宋"/>
          <w:sz w:val="32"/>
          <w:szCs w:val="32"/>
        </w:rPr>
      </w:pPr>
      <w:r w:rsidRPr="0077624D">
        <w:rPr>
          <w:rFonts w:ascii="仿宋" w:eastAsia="仿宋" w:hAnsi="仿宋" w:hint="eastAsia"/>
          <w:sz w:val="32"/>
          <w:szCs w:val="32"/>
        </w:rPr>
        <w:t>财务状况主要指标与期初数增减变化情况详见表</w:t>
      </w:r>
      <w:r w:rsidRPr="0077624D">
        <w:rPr>
          <w:rFonts w:ascii="仿宋" w:eastAsia="仿宋" w:hAnsi="仿宋"/>
          <w:sz w:val="32"/>
          <w:szCs w:val="32"/>
        </w:rPr>
        <w:t>1</w:t>
      </w:r>
      <w:r w:rsidRPr="0077624D">
        <w:rPr>
          <w:rFonts w:ascii="仿宋" w:eastAsia="仿宋" w:hAnsi="仿宋" w:hint="eastAsia"/>
          <w:sz w:val="32"/>
          <w:szCs w:val="32"/>
        </w:rPr>
        <w:t>。</w:t>
      </w:r>
    </w:p>
    <w:p w14:paraId="625D2C84" w14:textId="77777777" w:rsidR="006F4BC7" w:rsidRPr="00A87B79" w:rsidRDefault="006F4BC7" w:rsidP="00CF5271">
      <w:pPr>
        <w:jc w:val="center"/>
        <w:rPr>
          <w:rFonts w:ascii="仿宋_GB2312" w:eastAsia="仿宋_GB2312" w:hAnsi="Times New Roman"/>
          <w:sz w:val="28"/>
          <w:szCs w:val="28"/>
        </w:rPr>
      </w:pPr>
      <w:r w:rsidRPr="00A87B79">
        <w:rPr>
          <w:rFonts w:ascii="仿宋_GB2312" w:eastAsia="仿宋_GB2312" w:hAnsi="Times New Roman" w:hint="eastAsia"/>
          <w:sz w:val="28"/>
          <w:szCs w:val="28"/>
        </w:rPr>
        <w:t>表</w:t>
      </w:r>
      <w:r w:rsidRPr="00A87B79">
        <w:rPr>
          <w:rFonts w:ascii="仿宋_GB2312" w:eastAsia="仿宋_GB2312" w:hAnsi="Times New Roman"/>
          <w:sz w:val="28"/>
          <w:szCs w:val="28"/>
        </w:rPr>
        <w:t>1</w:t>
      </w:r>
      <w:r w:rsidRPr="00A87B79">
        <w:rPr>
          <w:rFonts w:ascii="仿宋_GB2312" w:eastAsia="仿宋_GB2312" w:hAnsi="Times New Roman" w:hint="eastAsia"/>
          <w:sz w:val="28"/>
          <w:szCs w:val="28"/>
        </w:rPr>
        <w:t>：财务状况主要指标增减变化情况表</w:t>
      </w:r>
    </w:p>
    <w:p w14:paraId="2B81C176" w14:textId="77777777" w:rsidR="006F4BC7" w:rsidRPr="00CF5271" w:rsidRDefault="006F4BC7" w:rsidP="00CF5271">
      <w:pPr>
        <w:widowControl/>
        <w:jc w:val="center"/>
        <w:rPr>
          <w:rFonts w:ascii="仿宋_GB2312" w:eastAsia="仿宋_GB2312"/>
          <w:b/>
          <w:color w:val="000000"/>
          <w:kern w:val="0"/>
          <w:szCs w:val="21"/>
        </w:rPr>
      </w:pPr>
      <w:r>
        <w:rPr>
          <w:rFonts w:ascii="仿宋_GB2312" w:eastAsia="仿宋_GB2312"/>
          <w:b/>
          <w:color w:val="000000"/>
          <w:kern w:val="0"/>
          <w:szCs w:val="21"/>
        </w:rPr>
        <w:t xml:space="preserve">                                                                      </w:t>
      </w:r>
      <w:r w:rsidRPr="00CF5271">
        <w:rPr>
          <w:rFonts w:ascii="仿宋_GB2312" w:eastAsia="仿宋_GB2312" w:hint="eastAsia"/>
          <w:b/>
          <w:color w:val="000000"/>
          <w:kern w:val="0"/>
          <w:szCs w:val="21"/>
        </w:rPr>
        <w:t>单位：万元</w:t>
      </w:r>
    </w:p>
    <w:tbl>
      <w:tblPr>
        <w:tblW w:w="8977" w:type="dxa"/>
        <w:jc w:val="center"/>
        <w:tblLayout w:type="fixed"/>
        <w:tblLook w:val="0000" w:firstRow="0" w:lastRow="0" w:firstColumn="0" w:lastColumn="0" w:noHBand="0" w:noVBand="0"/>
      </w:tblPr>
      <w:tblGrid>
        <w:gridCol w:w="2888"/>
        <w:gridCol w:w="1701"/>
        <w:gridCol w:w="1701"/>
        <w:gridCol w:w="1607"/>
        <w:gridCol w:w="1080"/>
      </w:tblGrid>
      <w:tr w:rsidR="006F4BC7" w:rsidRPr="00887E75" w14:paraId="54BCAA97" w14:textId="77777777" w:rsidTr="00C54AF9">
        <w:trPr>
          <w:trHeight w:val="394"/>
          <w:jc w:val="center"/>
        </w:trPr>
        <w:tc>
          <w:tcPr>
            <w:tcW w:w="2888" w:type="dxa"/>
            <w:tcBorders>
              <w:top w:val="single" w:sz="12" w:space="0" w:color="auto"/>
              <w:left w:val="nil"/>
              <w:bottom w:val="single" w:sz="12" w:space="0" w:color="auto"/>
              <w:right w:val="single" w:sz="4" w:space="0" w:color="auto"/>
            </w:tcBorders>
            <w:vAlign w:val="center"/>
          </w:tcPr>
          <w:p w14:paraId="2BE788DC" w14:textId="77777777" w:rsidR="006F4BC7" w:rsidRPr="00887E75" w:rsidRDefault="006F4BC7" w:rsidP="00C54AF9">
            <w:pPr>
              <w:widowControl/>
              <w:jc w:val="center"/>
              <w:rPr>
                <w:rFonts w:ascii="仿宋_GB2312" w:eastAsia="仿宋_GB2312"/>
                <w:b/>
                <w:color w:val="000000"/>
                <w:kern w:val="0"/>
                <w:szCs w:val="21"/>
              </w:rPr>
            </w:pPr>
            <w:r w:rsidRPr="00887E75">
              <w:rPr>
                <w:rFonts w:ascii="仿宋_GB2312" w:eastAsia="仿宋_GB2312" w:hint="eastAsia"/>
                <w:b/>
                <w:color w:val="000000"/>
                <w:kern w:val="0"/>
                <w:szCs w:val="21"/>
              </w:rPr>
              <w:t>指标名称</w:t>
            </w:r>
          </w:p>
        </w:tc>
        <w:tc>
          <w:tcPr>
            <w:tcW w:w="1701" w:type="dxa"/>
            <w:tcBorders>
              <w:top w:val="single" w:sz="12" w:space="0" w:color="auto"/>
              <w:left w:val="nil"/>
              <w:bottom w:val="single" w:sz="12" w:space="0" w:color="auto"/>
              <w:right w:val="single" w:sz="4" w:space="0" w:color="auto"/>
            </w:tcBorders>
            <w:vAlign w:val="center"/>
          </w:tcPr>
          <w:p w14:paraId="6C7A3437" w14:textId="77777777" w:rsidR="006F4BC7" w:rsidRPr="00887E75" w:rsidRDefault="006F4BC7" w:rsidP="00C54AF9">
            <w:pPr>
              <w:widowControl/>
              <w:jc w:val="center"/>
              <w:rPr>
                <w:rFonts w:ascii="仿宋_GB2312" w:eastAsia="仿宋_GB2312"/>
                <w:b/>
                <w:color w:val="000000"/>
                <w:kern w:val="0"/>
                <w:szCs w:val="21"/>
              </w:rPr>
            </w:pPr>
            <w:r w:rsidRPr="00887E75">
              <w:rPr>
                <w:rFonts w:ascii="仿宋_GB2312" w:eastAsia="仿宋_GB2312"/>
                <w:b/>
                <w:color w:val="000000"/>
                <w:kern w:val="0"/>
                <w:szCs w:val="21"/>
              </w:rPr>
              <w:t>20</w:t>
            </w:r>
            <w:r>
              <w:rPr>
                <w:rFonts w:ascii="仿宋_GB2312" w:eastAsia="仿宋_GB2312"/>
                <w:b/>
                <w:color w:val="000000"/>
                <w:kern w:val="0"/>
                <w:szCs w:val="21"/>
              </w:rPr>
              <w:t>19</w:t>
            </w:r>
            <w:r w:rsidRPr="00887E75">
              <w:rPr>
                <w:rFonts w:ascii="仿宋_GB2312" w:eastAsia="仿宋_GB2312" w:hint="eastAsia"/>
                <w:b/>
                <w:color w:val="000000"/>
                <w:kern w:val="0"/>
                <w:szCs w:val="21"/>
              </w:rPr>
              <w:t>年</w:t>
            </w:r>
            <w:r>
              <w:rPr>
                <w:rFonts w:ascii="仿宋_GB2312" w:eastAsia="仿宋_GB2312" w:hint="eastAsia"/>
                <w:b/>
                <w:color w:val="000000"/>
                <w:kern w:val="0"/>
                <w:szCs w:val="21"/>
              </w:rPr>
              <w:t>期末数</w:t>
            </w:r>
          </w:p>
        </w:tc>
        <w:tc>
          <w:tcPr>
            <w:tcW w:w="1701" w:type="dxa"/>
            <w:tcBorders>
              <w:top w:val="single" w:sz="12" w:space="0" w:color="auto"/>
              <w:left w:val="single" w:sz="4" w:space="0" w:color="auto"/>
              <w:bottom w:val="single" w:sz="12" w:space="0" w:color="auto"/>
              <w:right w:val="single" w:sz="4" w:space="0" w:color="auto"/>
            </w:tcBorders>
            <w:vAlign w:val="center"/>
          </w:tcPr>
          <w:p w14:paraId="27320915" w14:textId="77777777" w:rsidR="006F4BC7" w:rsidRPr="00887E75" w:rsidRDefault="006F4BC7" w:rsidP="00C54AF9">
            <w:pPr>
              <w:widowControl/>
              <w:jc w:val="center"/>
              <w:rPr>
                <w:rFonts w:ascii="仿宋_GB2312" w:eastAsia="仿宋_GB2312"/>
                <w:b/>
                <w:color w:val="000000"/>
                <w:kern w:val="0"/>
                <w:szCs w:val="21"/>
              </w:rPr>
            </w:pPr>
            <w:r>
              <w:rPr>
                <w:rFonts w:ascii="仿宋_GB2312" w:eastAsia="仿宋_GB2312"/>
                <w:b/>
                <w:color w:val="000000"/>
                <w:kern w:val="0"/>
                <w:szCs w:val="21"/>
              </w:rPr>
              <w:t>2019</w:t>
            </w:r>
            <w:r w:rsidRPr="00887E75">
              <w:rPr>
                <w:rFonts w:ascii="仿宋_GB2312" w:eastAsia="仿宋_GB2312" w:hint="eastAsia"/>
                <w:b/>
                <w:color w:val="000000"/>
                <w:kern w:val="0"/>
                <w:szCs w:val="21"/>
              </w:rPr>
              <w:t>年</w:t>
            </w:r>
            <w:r>
              <w:rPr>
                <w:rFonts w:ascii="仿宋_GB2312" w:eastAsia="仿宋_GB2312" w:hint="eastAsia"/>
                <w:b/>
                <w:color w:val="000000"/>
                <w:kern w:val="0"/>
                <w:szCs w:val="21"/>
              </w:rPr>
              <w:t>期初数</w:t>
            </w:r>
          </w:p>
        </w:tc>
        <w:tc>
          <w:tcPr>
            <w:tcW w:w="1607" w:type="dxa"/>
            <w:tcBorders>
              <w:top w:val="single" w:sz="12" w:space="0" w:color="auto"/>
              <w:left w:val="nil"/>
              <w:bottom w:val="single" w:sz="12" w:space="0" w:color="auto"/>
              <w:right w:val="single" w:sz="4" w:space="0" w:color="auto"/>
            </w:tcBorders>
            <w:vAlign w:val="center"/>
          </w:tcPr>
          <w:p w14:paraId="45934212" w14:textId="77777777" w:rsidR="006F4BC7" w:rsidRPr="00887E75" w:rsidRDefault="006F4BC7" w:rsidP="00C54AF9">
            <w:pPr>
              <w:widowControl/>
              <w:jc w:val="center"/>
              <w:rPr>
                <w:rFonts w:ascii="仿宋_GB2312" w:eastAsia="仿宋_GB2312"/>
                <w:b/>
                <w:color w:val="000000"/>
                <w:kern w:val="0"/>
                <w:szCs w:val="21"/>
              </w:rPr>
            </w:pPr>
            <w:r w:rsidRPr="00887E75">
              <w:rPr>
                <w:rFonts w:ascii="仿宋_GB2312" w:eastAsia="仿宋_GB2312" w:hint="eastAsia"/>
                <w:b/>
                <w:color w:val="000000"/>
                <w:kern w:val="0"/>
                <w:szCs w:val="21"/>
              </w:rPr>
              <w:t>增减额</w:t>
            </w:r>
          </w:p>
        </w:tc>
        <w:tc>
          <w:tcPr>
            <w:tcW w:w="1080" w:type="dxa"/>
            <w:tcBorders>
              <w:top w:val="single" w:sz="12" w:space="0" w:color="auto"/>
              <w:left w:val="nil"/>
              <w:bottom w:val="single" w:sz="12" w:space="0" w:color="auto"/>
              <w:right w:val="nil"/>
            </w:tcBorders>
            <w:vAlign w:val="center"/>
          </w:tcPr>
          <w:p w14:paraId="3D5A8568" w14:textId="77777777" w:rsidR="006F4BC7" w:rsidRPr="00887E75" w:rsidRDefault="006F4BC7" w:rsidP="00C54AF9">
            <w:pPr>
              <w:widowControl/>
              <w:jc w:val="center"/>
              <w:rPr>
                <w:rFonts w:ascii="仿宋_GB2312" w:eastAsia="仿宋_GB2312"/>
                <w:b/>
                <w:color w:val="000000"/>
                <w:kern w:val="0"/>
                <w:szCs w:val="21"/>
              </w:rPr>
            </w:pPr>
            <w:r w:rsidRPr="00887E75">
              <w:rPr>
                <w:rFonts w:ascii="仿宋_GB2312" w:eastAsia="仿宋_GB2312" w:hint="eastAsia"/>
                <w:b/>
                <w:color w:val="000000"/>
                <w:kern w:val="0"/>
                <w:szCs w:val="21"/>
              </w:rPr>
              <w:t>增长率</w:t>
            </w:r>
          </w:p>
        </w:tc>
      </w:tr>
      <w:tr w:rsidR="006F4BC7" w:rsidRPr="00887E75" w14:paraId="3B895A5D" w14:textId="77777777" w:rsidTr="00C54AF9">
        <w:trPr>
          <w:trHeight w:val="259"/>
          <w:jc w:val="center"/>
        </w:trPr>
        <w:tc>
          <w:tcPr>
            <w:tcW w:w="2888" w:type="dxa"/>
            <w:tcBorders>
              <w:top w:val="single" w:sz="12" w:space="0" w:color="auto"/>
              <w:left w:val="nil"/>
              <w:bottom w:val="single" w:sz="4" w:space="0" w:color="auto"/>
              <w:right w:val="single" w:sz="4" w:space="0" w:color="auto"/>
            </w:tcBorders>
            <w:vAlign w:val="center"/>
          </w:tcPr>
          <w:p w14:paraId="64E94B74" w14:textId="77777777" w:rsidR="006F4BC7" w:rsidRPr="00887E75" w:rsidRDefault="006F4BC7" w:rsidP="00C54AF9">
            <w:pPr>
              <w:widowControl/>
              <w:rPr>
                <w:rFonts w:ascii="仿宋_GB2312" w:eastAsia="仿宋_GB2312"/>
                <w:color w:val="000000"/>
                <w:kern w:val="0"/>
                <w:szCs w:val="21"/>
              </w:rPr>
            </w:pPr>
            <w:r w:rsidRPr="00887E75">
              <w:rPr>
                <w:rFonts w:ascii="仿宋_GB2312" w:eastAsia="仿宋_GB2312" w:hint="eastAsia"/>
                <w:color w:val="000000"/>
                <w:kern w:val="0"/>
                <w:szCs w:val="21"/>
              </w:rPr>
              <w:t>资产总额</w:t>
            </w:r>
          </w:p>
        </w:tc>
        <w:tc>
          <w:tcPr>
            <w:tcW w:w="1701" w:type="dxa"/>
            <w:tcBorders>
              <w:top w:val="nil"/>
              <w:left w:val="nil"/>
              <w:bottom w:val="single" w:sz="8" w:space="0" w:color="auto"/>
              <w:right w:val="single" w:sz="8" w:space="0" w:color="auto"/>
            </w:tcBorders>
            <w:vAlign w:val="center"/>
          </w:tcPr>
          <w:p w14:paraId="650090DB" w14:textId="77777777" w:rsidR="006F4BC7" w:rsidRPr="00E507B4" w:rsidRDefault="006F4BC7" w:rsidP="00C54AF9">
            <w:pPr>
              <w:jc w:val="right"/>
              <w:rPr>
                <w:sz w:val="22"/>
              </w:rPr>
            </w:pPr>
            <w:r>
              <w:rPr>
                <w:sz w:val="22"/>
              </w:rPr>
              <w:t xml:space="preserve">171465.21 </w:t>
            </w:r>
          </w:p>
        </w:tc>
        <w:tc>
          <w:tcPr>
            <w:tcW w:w="1701" w:type="dxa"/>
            <w:tcBorders>
              <w:top w:val="nil"/>
              <w:left w:val="nil"/>
              <w:bottom w:val="single" w:sz="8" w:space="0" w:color="auto"/>
              <w:right w:val="single" w:sz="8" w:space="0" w:color="auto"/>
            </w:tcBorders>
            <w:vAlign w:val="center"/>
          </w:tcPr>
          <w:p w14:paraId="61C21B17" w14:textId="77777777" w:rsidR="006F4BC7" w:rsidRPr="00E507B4" w:rsidRDefault="006F4BC7" w:rsidP="00C54AF9">
            <w:pPr>
              <w:jc w:val="right"/>
              <w:rPr>
                <w:sz w:val="22"/>
              </w:rPr>
            </w:pPr>
            <w:r>
              <w:rPr>
                <w:sz w:val="22"/>
              </w:rPr>
              <w:t>160173.70</w:t>
            </w:r>
          </w:p>
        </w:tc>
        <w:tc>
          <w:tcPr>
            <w:tcW w:w="1607" w:type="dxa"/>
            <w:tcBorders>
              <w:top w:val="nil"/>
              <w:left w:val="nil"/>
              <w:bottom w:val="single" w:sz="8" w:space="0" w:color="auto"/>
              <w:right w:val="single" w:sz="8" w:space="0" w:color="auto"/>
            </w:tcBorders>
            <w:shd w:val="clear" w:color="000000" w:fill="D9D9D9"/>
            <w:vAlign w:val="center"/>
          </w:tcPr>
          <w:p w14:paraId="6E963305" w14:textId="77777777" w:rsidR="006F4BC7" w:rsidRPr="00E507B4" w:rsidRDefault="006F4BC7" w:rsidP="00C54AF9">
            <w:pPr>
              <w:jc w:val="right"/>
              <w:rPr>
                <w:sz w:val="22"/>
              </w:rPr>
            </w:pPr>
            <w:r w:rsidRPr="00E507B4">
              <w:rPr>
                <w:sz w:val="22"/>
              </w:rPr>
              <w:t xml:space="preserve">11291.51 </w:t>
            </w:r>
          </w:p>
        </w:tc>
        <w:tc>
          <w:tcPr>
            <w:tcW w:w="1080" w:type="dxa"/>
            <w:tcBorders>
              <w:top w:val="nil"/>
              <w:left w:val="nil"/>
              <w:bottom w:val="single" w:sz="8" w:space="0" w:color="auto"/>
              <w:right w:val="nil"/>
            </w:tcBorders>
            <w:shd w:val="clear" w:color="000000" w:fill="D9D9D9"/>
            <w:vAlign w:val="center"/>
          </w:tcPr>
          <w:p w14:paraId="133035B7" w14:textId="77777777" w:rsidR="006F4BC7" w:rsidRPr="00E507B4" w:rsidRDefault="006F4BC7" w:rsidP="00C54AF9">
            <w:pPr>
              <w:jc w:val="right"/>
              <w:rPr>
                <w:sz w:val="22"/>
              </w:rPr>
            </w:pPr>
            <w:r w:rsidRPr="00E507B4">
              <w:rPr>
                <w:sz w:val="22"/>
              </w:rPr>
              <w:t xml:space="preserve">7.05% </w:t>
            </w:r>
          </w:p>
        </w:tc>
      </w:tr>
      <w:tr w:rsidR="006F4BC7" w:rsidRPr="00887E75" w14:paraId="672B8294" w14:textId="77777777" w:rsidTr="00C54AF9">
        <w:trPr>
          <w:trHeight w:val="417"/>
          <w:jc w:val="center"/>
        </w:trPr>
        <w:tc>
          <w:tcPr>
            <w:tcW w:w="2888" w:type="dxa"/>
            <w:tcBorders>
              <w:top w:val="nil"/>
              <w:left w:val="nil"/>
              <w:bottom w:val="single" w:sz="4" w:space="0" w:color="auto"/>
              <w:right w:val="single" w:sz="4" w:space="0" w:color="auto"/>
            </w:tcBorders>
            <w:vAlign w:val="center"/>
          </w:tcPr>
          <w:p w14:paraId="1F5C740F" w14:textId="77777777" w:rsidR="006F4BC7" w:rsidRPr="00887E75" w:rsidRDefault="006F4BC7" w:rsidP="00C54AF9">
            <w:pPr>
              <w:widowControl/>
              <w:rPr>
                <w:rFonts w:ascii="仿宋_GB2312" w:eastAsia="仿宋_GB2312"/>
                <w:color w:val="000000"/>
                <w:kern w:val="0"/>
                <w:szCs w:val="21"/>
              </w:rPr>
            </w:pPr>
            <w:r w:rsidRPr="00887E75">
              <w:rPr>
                <w:rFonts w:ascii="仿宋_GB2312" w:eastAsia="仿宋_GB2312" w:hint="eastAsia"/>
                <w:color w:val="000000"/>
                <w:kern w:val="0"/>
                <w:szCs w:val="21"/>
              </w:rPr>
              <w:t>负债总额</w:t>
            </w:r>
          </w:p>
        </w:tc>
        <w:tc>
          <w:tcPr>
            <w:tcW w:w="1701" w:type="dxa"/>
            <w:tcBorders>
              <w:top w:val="nil"/>
              <w:left w:val="nil"/>
              <w:bottom w:val="single" w:sz="8" w:space="0" w:color="auto"/>
              <w:right w:val="single" w:sz="8" w:space="0" w:color="auto"/>
            </w:tcBorders>
            <w:vAlign w:val="center"/>
          </w:tcPr>
          <w:p w14:paraId="38DD27DC" w14:textId="77777777" w:rsidR="006F4BC7" w:rsidRPr="00E507B4" w:rsidRDefault="006F4BC7" w:rsidP="00C54AF9">
            <w:pPr>
              <w:jc w:val="right"/>
              <w:rPr>
                <w:sz w:val="22"/>
              </w:rPr>
            </w:pPr>
            <w:r w:rsidRPr="00E507B4">
              <w:rPr>
                <w:sz w:val="22"/>
              </w:rPr>
              <w:t>21463.03</w:t>
            </w:r>
          </w:p>
        </w:tc>
        <w:tc>
          <w:tcPr>
            <w:tcW w:w="1701" w:type="dxa"/>
            <w:tcBorders>
              <w:top w:val="nil"/>
              <w:left w:val="nil"/>
              <w:bottom w:val="single" w:sz="8" w:space="0" w:color="auto"/>
              <w:right w:val="single" w:sz="8" w:space="0" w:color="auto"/>
            </w:tcBorders>
            <w:vAlign w:val="center"/>
          </w:tcPr>
          <w:p w14:paraId="174EF68B" w14:textId="77777777" w:rsidR="006F4BC7" w:rsidRPr="00E507B4" w:rsidRDefault="006F4BC7" w:rsidP="00C54AF9">
            <w:pPr>
              <w:jc w:val="right"/>
              <w:rPr>
                <w:sz w:val="22"/>
              </w:rPr>
            </w:pPr>
            <w:r w:rsidRPr="00E507B4">
              <w:rPr>
                <w:sz w:val="22"/>
              </w:rPr>
              <w:t>22575.61</w:t>
            </w:r>
          </w:p>
        </w:tc>
        <w:tc>
          <w:tcPr>
            <w:tcW w:w="1607" w:type="dxa"/>
            <w:tcBorders>
              <w:top w:val="nil"/>
              <w:left w:val="nil"/>
              <w:bottom w:val="single" w:sz="8" w:space="0" w:color="auto"/>
              <w:right w:val="single" w:sz="8" w:space="0" w:color="auto"/>
            </w:tcBorders>
            <w:shd w:val="clear" w:color="000000" w:fill="D9D9D9"/>
            <w:vAlign w:val="center"/>
          </w:tcPr>
          <w:p w14:paraId="4B55013F" w14:textId="77777777" w:rsidR="006F4BC7" w:rsidRPr="00E507B4" w:rsidRDefault="006F4BC7" w:rsidP="00C54AF9">
            <w:pPr>
              <w:jc w:val="right"/>
              <w:rPr>
                <w:sz w:val="22"/>
              </w:rPr>
            </w:pPr>
            <w:r w:rsidRPr="00E507B4">
              <w:rPr>
                <w:sz w:val="22"/>
              </w:rPr>
              <w:t>-1112.58</w:t>
            </w:r>
          </w:p>
        </w:tc>
        <w:tc>
          <w:tcPr>
            <w:tcW w:w="1080" w:type="dxa"/>
            <w:tcBorders>
              <w:top w:val="nil"/>
              <w:left w:val="nil"/>
              <w:bottom w:val="single" w:sz="8" w:space="0" w:color="auto"/>
              <w:right w:val="nil"/>
            </w:tcBorders>
            <w:shd w:val="clear" w:color="000000" w:fill="D9D9D9"/>
            <w:vAlign w:val="center"/>
          </w:tcPr>
          <w:p w14:paraId="171DA40F" w14:textId="77777777" w:rsidR="006F4BC7" w:rsidRPr="00E507B4" w:rsidRDefault="006F4BC7" w:rsidP="00C54AF9">
            <w:pPr>
              <w:jc w:val="right"/>
              <w:rPr>
                <w:sz w:val="22"/>
              </w:rPr>
            </w:pPr>
            <w:r w:rsidRPr="00E507B4">
              <w:rPr>
                <w:sz w:val="22"/>
              </w:rPr>
              <w:t xml:space="preserve">-4.93% </w:t>
            </w:r>
          </w:p>
        </w:tc>
      </w:tr>
      <w:tr w:rsidR="006F4BC7" w:rsidRPr="00887E75" w14:paraId="2F241C4E" w14:textId="77777777" w:rsidTr="00C54AF9">
        <w:trPr>
          <w:trHeight w:val="346"/>
          <w:jc w:val="center"/>
        </w:trPr>
        <w:tc>
          <w:tcPr>
            <w:tcW w:w="2888" w:type="dxa"/>
            <w:tcBorders>
              <w:top w:val="nil"/>
              <w:left w:val="nil"/>
              <w:bottom w:val="single" w:sz="4" w:space="0" w:color="auto"/>
              <w:right w:val="single" w:sz="4" w:space="0" w:color="auto"/>
            </w:tcBorders>
            <w:vAlign w:val="center"/>
          </w:tcPr>
          <w:p w14:paraId="0B3D4B46" w14:textId="77777777" w:rsidR="006F4BC7" w:rsidRPr="00887E75" w:rsidRDefault="006F4BC7" w:rsidP="00C54AF9">
            <w:pPr>
              <w:widowControl/>
              <w:rPr>
                <w:rFonts w:ascii="仿宋_GB2312" w:eastAsia="仿宋_GB2312"/>
                <w:color w:val="000000"/>
                <w:kern w:val="0"/>
                <w:szCs w:val="21"/>
              </w:rPr>
            </w:pPr>
            <w:r w:rsidRPr="00887E75">
              <w:rPr>
                <w:rFonts w:ascii="仿宋_GB2312" w:eastAsia="仿宋_GB2312" w:hint="eastAsia"/>
                <w:color w:val="000000"/>
                <w:kern w:val="0"/>
                <w:szCs w:val="21"/>
              </w:rPr>
              <w:t>所有者权益总额</w:t>
            </w:r>
          </w:p>
        </w:tc>
        <w:tc>
          <w:tcPr>
            <w:tcW w:w="1701" w:type="dxa"/>
            <w:tcBorders>
              <w:top w:val="nil"/>
              <w:left w:val="nil"/>
              <w:bottom w:val="single" w:sz="8" w:space="0" w:color="auto"/>
              <w:right w:val="single" w:sz="8" w:space="0" w:color="auto"/>
            </w:tcBorders>
            <w:shd w:val="clear" w:color="000000" w:fill="D9D9D9"/>
            <w:vAlign w:val="center"/>
          </w:tcPr>
          <w:p w14:paraId="497D784C" w14:textId="77777777" w:rsidR="006F4BC7" w:rsidRPr="00E507B4" w:rsidRDefault="006F4BC7" w:rsidP="00C54AF9">
            <w:pPr>
              <w:jc w:val="right"/>
              <w:rPr>
                <w:sz w:val="22"/>
              </w:rPr>
            </w:pPr>
            <w:r>
              <w:rPr>
                <w:sz w:val="22"/>
              </w:rPr>
              <w:t>150002.18</w:t>
            </w:r>
          </w:p>
        </w:tc>
        <w:tc>
          <w:tcPr>
            <w:tcW w:w="1701" w:type="dxa"/>
            <w:tcBorders>
              <w:top w:val="nil"/>
              <w:left w:val="nil"/>
              <w:bottom w:val="single" w:sz="8" w:space="0" w:color="auto"/>
              <w:right w:val="single" w:sz="8" w:space="0" w:color="auto"/>
            </w:tcBorders>
            <w:shd w:val="clear" w:color="000000" w:fill="D9D9D9"/>
            <w:vAlign w:val="center"/>
          </w:tcPr>
          <w:p w14:paraId="6D7CDA77" w14:textId="77777777" w:rsidR="006F4BC7" w:rsidRPr="00E507B4" w:rsidRDefault="006F4BC7" w:rsidP="00C54AF9">
            <w:pPr>
              <w:jc w:val="right"/>
              <w:rPr>
                <w:sz w:val="22"/>
              </w:rPr>
            </w:pPr>
            <w:r>
              <w:rPr>
                <w:sz w:val="22"/>
              </w:rPr>
              <w:t>137598.08</w:t>
            </w:r>
          </w:p>
        </w:tc>
        <w:tc>
          <w:tcPr>
            <w:tcW w:w="1607" w:type="dxa"/>
            <w:tcBorders>
              <w:top w:val="nil"/>
              <w:left w:val="nil"/>
              <w:bottom w:val="single" w:sz="8" w:space="0" w:color="auto"/>
              <w:right w:val="single" w:sz="8" w:space="0" w:color="auto"/>
            </w:tcBorders>
            <w:shd w:val="clear" w:color="000000" w:fill="D9D9D9"/>
            <w:vAlign w:val="center"/>
          </w:tcPr>
          <w:p w14:paraId="69D605C8" w14:textId="77777777" w:rsidR="006F4BC7" w:rsidRPr="00E507B4" w:rsidRDefault="006F4BC7" w:rsidP="00C54AF9">
            <w:pPr>
              <w:jc w:val="right"/>
              <w:rPr>
                <w:sz w:val="22"/>
              </w:rPr>
            </w:pPr>
            <w:r>
              <w:rPr>
                <w:sz w:val="22"/>
              </w:rPr>
              <w:t>12404.10</w:t>
            </w:r>
          </w:p>
        </w:tc>
        <w:tc>
          <w:tcPr>
            <w:tcW w:w="1080" w:type="dxa"/>
            <w:tcBorders>
              <w:top w:val="nil"/>
              <w:left w:val="nil"/>
              <w:bottom w:val="single" w:sz="8" w:space="0" w:color="auto"/>
              <w:right w:val="nil"/>
            </w:tcBorders>
            <w:shd w:val="clear" w:color="000000" w:fill="D9D9D9"/>
            <w:vAlign w:val="center"/>
          </w:tcPr>
          <w:p w14:paraId="52A8C1EA" w14:textId="77777777" w:rsidR="006F4BC7" w:rsidRPr="00E507B4" w:rsidRDefault="006F4BC7" w:rsidP="00C54AF9">
            <w:pPr>
              <w:jc w:val="right"/>
              <w:rPr>
                <w:sz w:val="22"/>
              </w:rPr>
            </w:pPr>
            <w:r>
              <w:rPr>
                <w:sz w:val="22"/>
              </w:rPr>
              <w:t>9.01</w:t>
            </w:r>
            <w:r w:rsidRPr="00E507B4">
              <w:rPr>
                <w:sz w:val="22"/>
              </w:rPr>
              <w:t xml:space="preserve">% </w:t>
            </w:r>
          </w:p>
        </w:tc>
      </w:tr>
      <w:tr w:rsidR="006F4BC7" w:rsidRPr="00887E75" w14:paraId="0F8B1116" w14:textId="77777777" w:rsidTr="00C54AF9">
        <w:trPr>
          <w:trHeight w:val="423"/>
          <w:jc w:val="center"/>
        </w:trPr>
        <w:tc>
          <w:tcPr>
            <w:tcW w:w="2888" w:type="dxa"/>
            <w:tcBorders>
              <w:top w:val="nil"/>
              <w:left w:val="nil"/>
              <w:bottom w:val="single" w:sz="4" w:space="0" w:color="auto"/>
              <w:right w:val="single" w:sz="4" w:space="0" w:color="auto"/>
            </w:tcBorders>
            <w:vAlign w:val="center"/>
          </w:tcPr>
          <w:p w14:paraId="175E9E33" w14:textId="77777777" w:rsidR="006F4BC7" w:rsidRDefault="006F4BC7" w:rsidP="00C54AF9">
            <w:pPr>
              <w:widowControl/>
              <w:rPr>
                <w:rFonts w:ascii="仿宋_GB2312" w:eastAsia="仿宋_GB2312"/>
                <w:color w:val="000000"/>
                <w:kern w:val="0"/>
                <w:szCs w:val="21"/>
              </w:rPr>
            </w:pPr>
            <w:r w:rsidRPr="00887E75">
              <w:rPr>
                <w:rFonts w:ascii="仿宋_GB2312" w:eastAsia="仿宋_GB2312" w:hint="eastAsia"/>
                <w:color w:val="000000"/>
                <w:kern w:val="0"/>
                <w:szCs w:val="21"/>
              </w:rPr>
              <w:t>归属于母公司所有者权益</w:t>
            </w:r>
          </w:p>
          <w:p w14:paraId="23E7D768" w14:textId="77777777" w:rsidR="006F4BC7" w:rsidRPr="00887E75" w:rsidRDefault="006F4BC7" w:rsidP="00C54AF9">
            <w:pPr>
              <w:widowControl/>
              <w:rPr>
                <w:rFonts w:ascii="仿宋_GB2312" w:eastAsia="仿宋_GB2312"/>
                <w:color w:val="000000"/>
                <w:kern w:val="0"/>
                <w:szCs w:val="21"/>
              </w:rPr>
            </w:pPr>
            <w:r>
              <w:rPr>
                <w:rFonts w:ascii="仿宋_GB2312" w:eastAsia="仿宋_GB2312" w:hint="eastAsia"/>
                <w:color w:val="000000"/>
                <w:kern w:val="0"/>
                <w:szCs w:val="21"/>
              </w:rPr>
              <w:t>（国有资本权益总额）</w:t>
            </w:r>
          </w:p>
        </w:tc>
        <w:tc>
          <w:tcPr>
            <w:tcW w:w="1701" w:type="dxa"/>
            <w:tcBorders>
              <w:top w:val="nil"/>
              <w:left w:val="nil"/>
              <w:bottom w:val="single" w:sz="8" w:space="0" w:color="auto"/>
              <w:right w:val="single" w:sz="8" w:space="0" w:color="auto"/>
            </w:tcBorders>
            <w:vAlign w:val="center"/>
          </w:tcPr>
          <w:p w14:paraId="103F7232" w14:textId="77777777" w:rsidR="006F4BC7" w:rsidRPr="00E507B4" w:rsidRDefault="006F4BC7" w:rsidP="00C54AF9">
            <w:pPr>
              <w:jc w:val="right"/>
              <w:rPr>
                <w:sz w:val="22"/>
              </w:rPr>
            </w:pPr>
            <w:r>
              <w:rPr>
                <w:sz w:val="22"/>
              </w:rPr>
              <w:t>149827.48</w:t>
            </w:r>
          </w:p>
        </w:tc>
        <w:tc>
          <w:tcPr>
            <w:tcW w:w="1701" w:type="dxa"/>
            <w:tcBorders>
              <w:top w:val="nil"/>
              <w:left w:val="nil"/>
              <w:bottom w:val="single" w:sz="8" w:space="0" w:color="auto"/>
              <w:right w:val="single" w:sz="8" w:space="0" w:color="auto"/>
            </w:tcBorders>
            <w:vAlign w:val="center"/>
          </w:tcPr>
          <w:p w14:paraId="6D0CB197" w14:textId="77777777" w:rsidR="006F4BC7" w:rsidRPr="00E507B4" w:rsidRDefault="006F4BC7" w:rsidP="00C54AF9">
            <w:pPr>
              <w:jc w:val="right"/>
              <w:rPr>
                <w:sz w:val="22"/>
              </w:rPr>
            </w:pPr>
            <w:r>
              <w:rPr>
                <w:sz w:val="22"/>
              </w:rPr>
              <w:t>137433.02</w:t>
            </w:r>
          </w:p>
        </w:tc>
        <w:tc>
          <w:tcPr>
            <w:tcW w:w="1607" w:type="dxa"/>
            <w:tcBorders>
              <w:top w:val="nil"/>
              <w:left w:val="nil"/>
              <w:bottom w:val="single" w:sz="8" w:space="0" w:color="auto"/>
              <w:right w:val="single" w:sz="8" w:space="0" w:color="auto"/>
            </w:tcBorders>
            <w:shd w:val="clear" w:color="000000" w:fill="D9D9D9"/>
            <w:vAlign w:val="center"/>
          </w:tcPr>
          <w:p w14:paraId="1B05EE5C" w14:textId="77777777" w:rsidR="006F4BC7" w:rsidRPr="00E507B4" w:rsidRDefault="006F4BC7" w:rsidP="00C54AF9">
            <w:pPr>
              <w:jc w:val="right"/>
              <w:rPr>
                <w:sz w:val="22"/>
              </w:rPr>
            </w:pPr>
            <w:r>
              <w:rPr>
                <w:sz w:val="22"/>
              </w:rPr>
              <w:t>12394.46</w:t>
            </w:r>
          </w:p>
        </w:tc>
        <w:tc>
          <w:tcPr>
            <w:tcW w:w="1080" w:type="dxa"/>
            <w:tcBorders>
              <w:top w:val="nil"/>
              <w:left w:val="nil"/>
              <w:bottom w:val="single" w:sz="8" w:space="0" w:color="auto"/>
              <w:right w:val="nil"/>
            </w:tcBorders>
            <w:shd w:val="clear" w:color="000000" w:fill="D9D9D9"/>
            <w:vAlign w:val="center"/>
          </w:tcPr>
          <w:p w14:paraId="4D9606AE" w14:textId="77777777" w:rsidR="006F4BC7" w:rsidRPr="00E507B4" w:rsidRDefault="006F4BC7" w:rsidP="00C54AF9">
            <w:pPr>
              <w:jc w:val="right"/>
              <w:rPr>
                <w:sz w:val="22"/>
              </w:rPr>
            </w:pPr>
            <w:r>
              <w:rPr>
                <w:sz w:val="22"/>
              </w:rPr>
              <w:t>9.02</w:t>
            </w:r>
            <w:r w:rsidRPr="00E507B4">
              <w:rPr>
                <w:sz w:val="22"/>
              </w:rPr>
              <w:t xml:space="preserve">% </w:t>
            </w:r>
          </w:p>
        </w:tc>
      </w:tr>
      <w:tr w:rsidR="006F4BC7" w:rsidRPr="00887E75" w14:paraId="2E5C7EFA" w14:textId="77777777" w:rsidTr="00C54AF9">
        <w:trPr>
          <w:trHeight w:val="362"/>
          <w:jc w:val="center"/>
        </w:trPr>
        <w:tc>
          <w:tcPr>
            <w:tcW w:w="2888" w:type="dxa"/>
            <w:tcBorders>
              <w:top w:val="nil"/>
              <w:left w:val="nil"/>
              <w:bottom w:val="single" w:sz="12" w:space="0" w:color="auto"/>
              <w:right w:val="single" w:sz="4" w:space="0" w:color="auto"/>
            </w:tcBorders>
            <w:vAlign w:val="center"/>
          </w:tcPr>
          <w:p w14:paraId="651B4498" w14:textId="77777777" w:rsidR="006F4BC7" w:rsidRPr="00887E75" w:rsidRDefault="006F4BC7" w:rsidP="00C54AF9">
            <w:pPr>
              <w:widowControl/>
              <w:rPr>
                <w:rFonts w:ascii="仿宋_GB2312" w:eastAsia="仿宋_GB2312"/>
                <w:color w:val="000000"/>
                <w:kern w:val="0"/>
                <w:szCs w:val="21"/>
              </w:rPr>
            </w:pPr>
            <w:r w:rsidRPr="00887E75">
              <w:rPr>
                <w:rFonts w:ascii="仿宋_GB2312" w:eastAsia="仿宋_GB2312" w:hint="eastAsia"/>
                <w:color w:val="000000"/>
                <w:kern w:val="0"/>
                <w:szCs w:val="21"/>
              </w:rPr>
              <w:t>资产负债率</w:t>
            </w:r>
          </w:p>
        </w:tc>
        <w:tc>
          <w:tcPr>
            <w:tcW w:w="1701" w:type="dxa"/>
            <w:tcBorders>
              <w:top w:val="nil"/>
              <w:left w:val="nil"/>
              <w:bottom w:val="single" w:sz="12" w:space="0" w:color="auto"/>
              <w:right w:val="single" w:sz="8" w:space="0" w:color="auto"/>
            </w:tcBorders>
            <w:shd w:val="clear" w:color="000000" w:fill="D9D9D9"/>
            <w:vAlign w:val="center"/>
          </w:tcPr>
          <w:p w14:paraId="62235F9F" w14:textId="77777777" w:rsidR="006F4BC7" w:rsidRPr="00E507B4" w:rsidRDefault="006F4BC7" w:rsidP="00C54AF9">
            <w:pPr>
              <w:jc w:val="right"/>
              <w:rPr>
                <w:sz w:val="22"/>
              </w:rPr>
            </w:pPr>
            <w:r>
              <w:rPr>
                <w:sz w:val="22"/>
              </w:rPr>
              <w:t>12.52</w:t>
            </w:r>
            <w:r w:rsidRPr="00E507B4">
              <w:rPr>
                <w:sz w:val="22"/>
              </w:rPr>
              <w:t>%</w:t>
            </w:r>
          </w:p>
        </w:tc>
        <w:tc>
          <w:tcPr>
            <w:tcW w:w="1701" w:type="dxa"/>
            <w:tcBorders>
              <w:top w:val="nil"/>
              <w:left w:val="nil"/>
              <w:bottom w:val="single" w:sz="12" w:space="0" w:color="auto"/>
              <w:right w:val="single" w:sz="8" w:space="0" w:color="auto"/>
            </w:tcBorders>
            <w:shd w:val="clear" w:color="000000" w:fill="D9D9D9"/>
            <w:vAlign w:val="center"/>
          </w:tcPr>
          <w:p w14:paraId="02183FE4" w14:textId="77777777" w:rsidR="006F4BC7" w:rsidRPr="00E507B4" w:rsidRDefault="006F4BC7" w:rsidP="00C54AF9">
            <w:pPr>
              <w:jc w:val="right"/>
              <w:rPr>
                <w:sz w:val="22"/>
              </w:rPr>
            </w:pPr>
            <w:r>
              <w:rPr>
                <w:sz w:val="22"/>
              </w:rPr>
              <w:t>14.09</w:t>
            </w:r>
            <w:r w:rsidRPr="00E507B4">
              <w:rPr>
                <w:sz w:val="22"/>
              </w:rPr>
              <w:t>%</w:t>
            </w:r>
          </w:p>
        </w:tc>
        <w:tc>
          <w:tcPr>
            <w:tcW w:w="1607" w:type="dxa"/>
            <w:tcBorders>
              <w:top w:val="nil"/>
              <w:left w:val="nil"/>
              <w:bottom w:val="single" w:sz="8" w:space="0" w:color="auto"/>
              <w:right w:val="single" w:sz="8" w:space="0" w:color="auto"/>
            </w:tcBorders>
            <w:shd w:val="clear" w:color="000000" w:fill="D9D9D9"/>
            <w:vAlign w:val="center"/>
          </w:tcPr>
          <w:p w14:paraId="7757BB3B" w14:textId="77777777" w:rsidR="006F4BC7" w:rsidRPr="00E507B4" w:rsidRDefault="006F4BC7" w:rsidP="00C54AF9">
            <w:pPr>
              <w:jc w:val="right"/>
              <w:rPr>
                <w:sz w:val="22"/>
              </w:rPr>
            </w:pPr>
            <w:r>
              <w:rPr>
                <w:sz w:val="22"/>
              </w:rPr>
              <w:t>-1.57</w:t>
            </w:r>
            <w:r w:rsidRPr="00E507B4">
              <w:rPr>
                <w:sz w:val="22"/>
              </w:rPr>
              <w:t>%</w:t>
            </w:r>
          </w:p>
        </w:tc>
        <w:tc>
          <w:tcPr>
            <w:tcW w:w="1080" w:type="dxa"/>
            <w:tcBorders>
              <w:top w:val="nil"/>
              <w:left w:val="nil"/>
              <w:bottom w:val="single" w:sz="8" w:space="0" w:color="auto"/>
              <w:right w:val="nil"/>
            </w:tcBorders>
            <w:shd w:val="clear" w:color="000000" w:fill="D9D9D9"/>
            <w:vAlign w:val="center"/>
          </w:tcPr>
          <w:p w14:paraId="7BB6C97B" w14:textId="77777777" w:rsidR="006F4BC7" w:rsidRPr="00E507B4" w:rsidRDefault="006F4BC7" w:rsidP="00C54AF9">
            <w:pPr>
              <w:jc w:val="right"/>
              <w:rPr>
                <w:sz w:val="22"/>
              </w:rPr>
            </w:pPr>
            <w:r>
              <w:rPr>
                <w:sz w:val="22"/>
              </w:rPr>
              <w:t>-11.19</w:t>
            </w:r>
            <w:r w:rsidRPr="00E507B4">
              <w:rPr>
                <w:sz w:val="22"/>
              </w:rPr>
              <w:t>%</w:t>
            </w:r>
          </w:p>
        </w:tc>
      </w:tr>
    </w:tbl>
    <w:p w14:paraId="2D800A13" w14:textId="77777777" w:rsidR="006F4BC7" w:rsidRDefault="006F4BC7" w:rsidP="00B0216D">
      <w:pPr>
        <w:ind w:firstLineChars="200" w:firstLine="560"/>
        <w:rPr>
          <w:rFonts w:ascii="仿宋_GB2312" w:eastAsia="仿宋_GB2312" w:hAnsi="Times New Roman"/>
          <w:sz w:val="28"/>
          <w:szCs w:val="28"/>
        </w:rPr>
      </w:pPr>
    </w:p>
    <w:p w14:paraId="240F38CC" w14:textId="77777777" w:rsidR="006F4BC7" w:rsidRPr="00763857" w:rsidRDefault="006F4BC7" w:rsidP="00763857">
      <w:pPr>
        <w:ind w:firstLineChars="196" w:firstLine="627"/>
        <w:rPr>
          <w:rFonts w:ascii="黑体" w:eastAsia="黑体" w:hAnsi="黑体"/>
          <w:bCs/>
          <w:sz w:val="32"/>
          <w:szCs w:val="32"/>
        </w:rPr>
      </w:pPr>
      <w:r w:rsidRPr="00763857">
        <w:rPr>
          <w:rFonts w:ascii="黑体" w:eastAsia="黑体" w:hAnsi="黑体" w:hint="eastAsia"/>
          <w:bCs/>
          <w:sz w:val="32"/>
          <w:szCs w:val="32"/>
        </w:rPr>
        <w:t>三、经营成果分析</w:t>
      </w:r>
    </w:p>
    <w:p w14:paraId="77029EEE" w14:textId="77777777" w:rsidR="006F4BC7" w:rsidRPr="0077624D" w:rsidRDefault="006F4BC7" w:rsidP="0077624D">
      <w:pPr>
        <w:spacing w:line="560" w:lineRule="exact"/>
        <w:ind w:firstLine="645"/>
        <w:rPr>
          <w:rFonts w:ascii="仿宋" w:eastAsia="仿宋" w:hAnsi="仿宋"/>
          <w:sz w:val="32"/>
          <w:szCs w:val="32"/>
        </w:rPr>
      </w:pPr>
      <w:r w:rsidRPr="0077624D">
        <w:rPr>
          <w:rFonts w:ascii="仿宋" w:eastAsia="仿宋" w:hAnsi="仿宋"/>
          <w:sz w:val="32"/>
          <w:szCs w:val="32"/>
        </w:rPr>
        <w:t>2019</w:t>
      </w:r>
      <w:r w:rsidRPr="0077624D">
        <w:rPr>
          <w:rFonts w:ascii="仿宋" w:eastAsia="仿宋" w:hAnsi="仿宋" w:hint="eastAsia"/>
          <w:sz w:val="32"/>
          <w:szCs w:val="32"/>
        </w:rPr>
        <w:t>年度，我校企业整体经营状况如下：</w:t>
      </w:r>
    </w:p>
    <w:p w14:paraId="3A9812D6" w14:textId="77777777" w:rsidR="006F4BC7" w:rsidRPr="0077624D" w:rsidRDefault="006F4BC7" w:rsidP="0077624D">
      <w:pPr>
        <w:spacing w:line="560" w:lineRule="exact"/>
        <w:ind w:firstLine="645"/>
        <w:rPr>
          <w:rFonts w:ascii="仿宋" w:eastAsia="仿宋" w:hAnsi="仿宋"/>
          <w:sz w:val="32"/>
          <w:szCs w:val="32"/>
        </w:rPr>
      </w:pPr>
      <w:r w:rsidRPr="0077624D">
        <w:rPr>
          <w:rFonts w:ascii="仿宋" w:eastAsia="仿宋" w:hAnsi="仿宋"/>
          <w:sz w:val="32"/>
          <w:szCs w:val="32"/>
        </w:rPr>
        <w:t>2019</w:t>
      </w:r>
      <w:r w:rsidRPr="0077624D">
        <w:rPr>
          <w:rFonts w:ascii="仿宋" w:eastAsia="仿宋" w:hAnsi="仿宋" w:hint="eastAsia"/>
          <w:sz w:val="32"/>
          <w:szCs w:val="32"/>
        </w:rPr>
        <w:t>年营业总收入</w:t>
      </w:r>
      <w:r w:rsidRPr="0077624D">
        <w:rPr>
          <w:rFonts w:ascii="仿宋" w:eastAsia="仿宋" w:hAnsi="仿宋"/>
          <w:sz w:val="32"/>
          <w:szCs w:val="32"/>
        </w:rPr>
        <w:t>80811.94</w:t>
      </w:r>
      <w:r w:rsidRPr="0077624D">
        <w:rPr>
          <w:rFonts w:ascii="仿宋" w:eastAsia="仿宋" w:hAnsi="仿宋" w:hint="eastAsia"/>
          <w:sz w:val="32"/>
          <w:szCs w:val="32"/>
        </w:rPr>
        <w:t>万元，比上年增加</w:t>
      </w:r>
      <w:r w:rsidRPr="0077624D">
        <w:rPr>
          <w:rFonts w:ascii="仿宋" w:eastAsia="仿宋" w:hAnsi="仿宋"/>
          <w:sz w:val="32"/>
          <w:szCs w:val="32"/>
        </w:rPr>
        <w:t>5019.99</w:t>
      </w:r>
      <w:r w:rsidRPr="0077624D">
        <w:rPr>
          <w:rFonts w:ascii="仿宋" w:eastAsia="仿宋" w:hAnsi="仿宋" w:hint="eastAsia"/>
          <w:sz w:val="32"/>
          <w:szCs w:val="32"/>
        </w:rPr>
        <w:t>万元，增长</w:t>
      </w:r>
      <w:r w:rsidRPr="0077624D">
        <w:rPr>
          <w:rFonts w:ascii="仿宋" w:eastAsia="仿宋" w:hAnsi="仿宋"/>
          <w:sz w:val="32"/>
          <w:szCs w:val="32"/>
        </w:rPr>
        <w:t>6.62%</w:t>
      </w:r>
      <w:r w:rsidRPr="0077624D">
        <w:rPr>
          <w:rFonts w:ascii="仿宋" w:eastAsia="仿宋" w:hAnsi="仿宋" w:hint="eastAsia"/>
          <w:sz w:val="32"/>
          <w:szCs w:val="32"/>
        </w:rPr>
        <w:t>；营业总成本</w:t>
      </w:r>
      <w:r w:rsidRPr="0077624D">
        <w:rPr>
          <w:rFonts w:ascii="仿宋" w:eastAsia="仿宋" w:hAnsi="仿宋"/>
          <w:sz w:val="32"/>
          <w:szCs w:val="32"/>
        </w:rPr>
        <w:t>67050.36</w:t>
      </w:r>
      <w:r w:rsidRPr="0077624D">
        <w:rPr>
          <w:rFonts w:ascii="仿宋" w:eastAsia="仿宋" w:hAnsi="仿宋" w:hint="eastAsia"/>
          <w:sz w:val="32"/>
          <w:szCs w:val="32"/>
        </w:rPr>
        <w:t>万元，比上年增加</w:t>
      </w:r>
      <w:r w:rsidRPr="0077624D">
        <w:rPr>
          <w:rFonts w:ascii="仿宋" w:eastAsia="仿宋" w:hAnsi="仿宋"/>
          <w:sz w:val="32"/>
          <w:szCs w:val="32"/>
        </w:rPr>
        <w:t>1904.94</w:t>
      </w:r>
      <w:r w:rsidRPr="0077624D">
        <w:rPr>
          <w:rFonts w:ascii="仿宋" w:eastAsia="仿宋" w:hAnsi="仿宋" w:hint="eastAsia"/>
          <w:sz w:val="32"/>
          <w:szCs w:val="32"/>
        </w:rPr>
        <w:t>万元，增长</w:t>
      </w:r>
      <w:r w:rsidRPr="0077624D">
        <w:rPr>
          <w:rFonts w:ascii="仿宋" w:eastAsia="仿宋" w:hAnsi="仿宋"/>
          <w:sz w:val="32"/>
          <w:szCs w:val="32"/>
        </w:rPr>
        <w:t>2.92%</w:t>
      </w:r>
      <w:r w:rsidRPr="0077624D">
        <w:rPr>
          <w:rFonts w:ascii="仿宋" w:eastAsia="仿宋" w:hAnsi="仿宋" w:hint="eastAsia"/>
          <w:sz w:val="32"/>
          <w:szCs w:val="32"/>
        </w:rPr>
        <w:t>；实现净利润</w:t>
      </w:r>
      <w:r w:rsidRPr="0077624D">
        <w:rPr>
          <w:rFonts w:ascii="仿宋" w:eastAsia="仿宋" w:hAnsi="仿宋"/>
          <w:sz w:val="32"/>
          <w:szCs w:val="32"/>
        </w:rPr>
        <w:t>15010.82</w:t>
      </w:r>
      <w:r w:rsidRPr="0077624D">
        <w:rPr>
          <w:rFonts w:ascii="仿宋" w:eastAsia="仿宋" w:hAnsi="仿宋" w:hint="eastAsia"/>
          <w:sz w:val="32"/>
          <w:szCs w:val="32"/>
        </w:rPr>
        <w:t>万元，比上年增加</w:t>
      </w:r>
      <w:r w:rsidRPr="0077624D">
        <w:rPr>
          <w:rFonts w:ascii="仿宋" w:eastAsia="仿宋" w:hAnsi="仿宋"/>
          <w:sz w:val="32"/>
          <w:szCs w:val="32"/>
        </w:rPr>
        <w:t>1879.38</w:t>
      </w:r>
      <w:r w:rsidRPr="0077624D">
        <w:rPr>
          <w:rFonts w:ascii="仿宋" w:eastAsia="仿宋" w:hAnsi="仿宋" w:hint="eastAsia"/>
          <w:sz w:val="32"/>
          <w:szCs w:val="32"/>
        </w:rPr>
        <w:t>万元，增长</w:t>
      </w:r>
      <w:r w:rsidRPr="0077624D">
        <w:rPr>
          <w:rFonts w:ascii="仿宋" w:eastAsia="仿宋" w:hAnsi="仿宋"/>
          <w:sz w:val="32"/>
          <w:szCs w:val="32"/>
        </w:rPr>
        <w:t>14.31%</w:t>
      </w:r>
      <w:r w:rsidRPr="0077624D">
        <w:rPr>
          <w:rFonts w:ascii="仿宋" w:eastAsia="仿宋" w:hAnsi="仿宋" w:hint="eastAsia"/>
          <w:sz w:val="32"/>
          <w:szCs w:val="32"/>
        </w:rPr>
        <w:t>。上交国有资本收益</w:t>
      </w:r>
      <w:r w:rsidRPr="0077624D">
        <w:rPr>
          <w:rFonts w:ascii="仿宋" w:eastAsia="仿宋" w:hAnsi="仿宋"/>
          <w:sz w:val="32"/>
          <w:szCs w:val="32"/>
        </w:rPr>
        <w:t>1151.34</w:t>
      </w:r>
      <w:r w:rsidRPr="0077624D">
        <w:rPr>
          <w:rFonts w:ascii="仿宋" w:eastAsia="仿宋" w:hAnsi="仿宋" w:hint="eastAsia"/>
          <w:sz w:val="32"/>
          <w:szCs w:val="32"/>
        </w:rPr>
        <w:t>万元，上交学校投资收益</w:t>
      </w:r>
      <w:r w:rsidRPr="0077624D">
        <w:rPr>
          <w:rFonts w:ascii="仿宋" w:eastAsia="仿宋" w:hAnsi="仿宋"/>
          <w:sz w:val="32"/>
          <w:szCs w:val="32"/>
        </w:rPr>
        <w:t>1,552.27</w:t>
      </w:r>
      <w:r w:rsidRPr="0077624D">
        <w:rPr>
          <w:rFonts w:ascii="仿宋" w:eastAsia="仿宋" w:hAnsi="仿宋" w:hint="eastAsia"/>
          <w:sz w:val="32"/>
          <w:szCs w:val="32"/>
        </w:rPr>
        <w:t>万元。经营状况主要指标增减变化情况见表</w:t>
      </w:r>
      <w:r w:rsidRPr="0077624D">
        <w:rPr>
          <w:rFonts w:ascii="仿宋" w:eastAsia="仿宋" w:hAnsi="仿宋"/>
          <w:sz w:val="32"/>
          <w:szCs w:val="32"/>
        </w:rPr>
        <w:t>2</w:t>
      </w:r>
      <w:r w:rsidRPr="0077624D">
        <w:rPr>
          <w:rFonts w:ascii="仿宋" w:eastAsia="仿宋" w:hAnsi="仿宋" w:hint="eastAsia"/>
          <w:sz w:val="32"/>
          <w:szCs w:val="32"/>
        </w:rPr>
        <w:t>。</w:t>
      </w:r>
    </w:p>
    <w:p w14:paraId="771777AD" w14:textId="77777777" w:rsidR="006F4BC7" w:rsidRPr="00CF5271" w:rsidRDefault="006F4BC7" w:rsidP="00B35E9A">
      <w:pPr>
        <w:jc w:val="center"/>
        <w:rPr>
          <w:rFonts w:ascii="仿宋_GB2312" w:eastAsia="仿宋_GB2312" w:hAnsi="Times New Roman"/>
          <w:sz w:val="28"/>
          <w:szCs w:val="28"/>
        </w:rPr>
      </w:pPr>
      <w:r w:rsidRPr="00CF5271">
        <w:rPr>
          <w:rFonts w:ascii="仿宋_GB2312" w:eastAsia="仿宋_GB2312" w:hAnsi="Times New Roman" w:hint="eastAsia"/>
          <w:sz w:val="28"/>
          <w:szCs w:val="28"/>
        </w:rPr>
        <w:t>表</w:t>
      </w:r>
      <w:r w:rsidRPr="00CF5271">
        <w:rPr>
          <w:rFonts w:ascii="仿宋_GB2312" w:eastAsia="仿宋_GB2312" w:hAnsi="Times New Roman"/>
          <w:sz w:val="28"/>
          <w:szCs w:val="28"/>
        </w:rPr>
        <w:t>2</w:t>
      </w:r>
      <w:r w:rsidRPr="00CF5271">
        <w:rPr>
          <w:rFonts w:ascii="仿宋_GB2312" w:eastAsia="仿宋_GB2312" w:hAnsi="Times New Roman" w:hint="eastAsia"/>
          <w:sz w:val="28"/>
          <w:szCs w:val="28"/>
        </w:rPr>
        <w:t>：经营状况主要指标增减变化情况表</w:t>
      </w:r>
    </w:p>
    <w:p w14:paraId="5A57232E" w14:textId="77777777" w:rsidR="006F4BC7" w:rsidRPr="00CF5271" w:rsidRDefault="006F4BC7" w:rsidP="00CF5271">
      <w:pPr>
        <w:widowControl/>
        <w:jc w:val="center"/>
        <w:rPr>
          <w:rFonts w:eastAsia="仿宋_GB2312"/>
          <w:b/>
          <w:bCs/>
          <w:color w:val="000000"/>
          <w:kern w:val="0"/>
          <w:szCs w:val="21"/>
        </w:rPr>
      </w:pPr>
      <w:r>
        <w:rPr>
          <w:rFonts w:ascii="仿宋_GB2312" w:eastAsia="仿宋_GB2312"/>
          <w:snapToGrid w:val="0"/>
          <w:kern w:val="0"/>
          <w:sz w:val="28"/>
          <w:szCs w:val="28"/>
        </w:rPr>
        <w:t xml:space="preserve">   </w:t>
      </w:r>
      <w:r w:rsidRPr="00CF5271">
        <w:rPr>
          <w:rFonts w:ascii="仿宋_GB2312" w:eastAsia="仿宋_GB2312" w:hAnsi="Times New Roman"/>
          <w:sz w:val="28"/>
          <w:szCs w:val="28"/>
        </w:rPr>
        <w:t xml:space="preserve"> </w:t>
      </w:r>
      <w:r>
        <w:rPr>
          <w:rFonts w:ascii="仿宋_GB2312" w:eastAsia="仿宋_GB2312" w:hAnsi="Times New Roman"/>
          <w:sz w:val="28"/>
          <w:szCs w:val="28"/>
        </w:rPr>
        <w:t xml:space="preserve">                                             </w:t>
      </w:r>
      <w:r w:rsidRPr="00CF5271">
        <w:rPr>
          <w:rFonts w:eastAsia="仿宋_GB2312" w:hint="eastAsia"/>
          <w:b/>
          <w:bCs/>
          <w:color w:val="000000"/>
          <w:kern w:val="0"/>
          <w:szCs w:val="21"/>
        </w:rPr>
        <w:t>单位：万元</w:t>
      </w:r>
    </w:p>
    <w:tbl>
      <w:tblPr>
        <w:tblW w:w="0" w:type="auto"/>
        <w:tblInd w:w="93" w:type="dxa"/>
        <w:tblBorders>
          <w:top w:val="single" w:sz="12" w:space="0" w:color="auto"/>
          <w:bottom w:val="single" w:sz="12" w:space="0" w:color="auto"/>
          <w:insideH w:val="single" w:sz="4" w:space="0" w:color="auto"/>
          <w:insideV w:val="single" w:sz="4" w:space="0" w:color="auto"/>
        </w:tblBorders>
        <w:tblLayout w:type="fixed"/>
        <w:tblLook w:val="0000" w:firstRow="0" w:lastRow="0" w:firstColumn="0" w:lastColumn="0" w:noHBand="0" w:noVBand="0"/>
      </w:tblPr>
      <w:tblGrid>
        <w:gridCol w:w="1716"/>
        <w:gridCol w:w="1843"/>
        <w:gridCol w:w="1843"/>
        <w:gridCol w:w="1753"/>
        <w:gridCol w:w="1785"/>
      </w:tblGrid>
      <w:tr w:rsidR="006F4BC7" w:rsidRPr="00887E75" w14:paraId="4A293D4A" w14:textId="77777777" w:rsidTr="00A803C2">
        <w:trPr>
          <w:trHeight w:val="567"/>
        </w:trPr>
        <w:tc>
          <w:tcPr>
            <w:tcW w:w="1716" w:type="dxa"/>
            <w:tcBorders>
              <w:top w:val="single" w:sz="12" w:space="0" w:color="auto"/>
              <w:bottom w:val="single" w:sz="12" w:space="0" w:color="auto"/>
            </w:tcBorders>
            <w:vAlign w:val="center"/>
          </w:tcPr>
          <w:p w14:paraId="5BED74F3" w14:textId="77777777" w:rsidR="006F4BC7" w:rsidRPr="00887E75" w:rsidRDefault="006F4BC7" w:rsidP="00886DF6">
            <w:pPr>
              <w:widowControl/>
              <w:jc w:val="center"/>
              <w:rPr>
                <w:rFonts w:eastAsia="仿宋_GB2312"/>
                <w:b/>
                <w:bCs/>
                <w:color w:val="000000"/>
                <w:kern w:val="0"/>
                <w:szCs w:val="21"/>
              </w:rPr>
            </w:pPr>
            <w:r w:rsidRPr="00887E75">
              <w:rPr>
                <w:rFonts w:eastAsia="仿宋_GB2312" w:hint="eastAsia"/>
                <w:b/>
                <w:bCs/>
                <w:color w:val="000000"/>
                <w:kern w:val="0"/>
                <w:szCs w:val="21"/>
              </w:rPr>
              <w:lastRenderedPageBreak/>
              <w:t>指标名称</w:t>
            </w:r>
          </w:p>
        </w:tc>
        <w:tc>
          <w:tcPr>
            <w:tcW w:w="1843" w:type="dxa"/>
            <w:tcBorders>
              <w:top w:val="single" w:sz="12" w:space="0" w:color="auto"/>
              <w:bottom w:val="single" w:sz="12" w:space="0" w:color="auto"/>
            </w:tcBorders>
            <w:vAlign w:val="center"/>
          </w:tcPr>
          <w:p w14:paraId="3FAC74EE" w14:textId="77777777" w:rsidR="006F4BC7" w:rsidRPr="00887E75" w:rsidRDefault="006F4BC7" w:rsidP="00886DF6">
            <w:pPr>
              <w:widowControl/>
              <w:jc w:val="center"/>
              <w:rPr>
                <w:rFonts w:eastAsia="仿宋_GB2312"/>
                <w:b/>
                <w:bCs/>
                <w:color w:val="000000"/>
                <w:kern w:val="0"/>
                <w:szCs w:val="21"/>
              </w:rPr>
            </w:pPr>
            <w:r>
              <w:rPr>
                <w:rFonts w:eastAsia="仿宋_GB2312"/>
                <w:b/>
                <w:bCs/>
                <w:color w:val="000000"/>
                <w:kern w:val="0"/>
                <w:szCs w:val="21"/>
              </w:rPr>
              <w:t>2019</w:t>
            </w:r>
            <w:r w:rsidRPr="00887E75">
              <w:rPr>
                <w:rFonts w:eastAsia="仿宋_GB2312" w:hint="eastAsia"/>
                <w:b/>
                <w:bCs/>
                <w:color w:val="000000"/>
                <w:kern w:val="0"/>
                <w:szCs w:val="21"/>
              </w:rPr>
              <w:t>年</w:t>
            </w:r>
          </w:p>
        </w:tc>
        <w:tc>
          <w:tcPr>
            <w:tcW w:w="1843" w:type="dxa"/>
            <w:tcBorders>
              <w:top w:val="single" w:sz="12" w:space="0" w:color="auto"/>
              <w:bottom w:val="single" w:sz="12" w:space="0" w:color="auto"/>
            </w:tcBorders>
            <w:vAlign w:val="center"/>
          </w:tcPr>
          <w:p w14:paraId="560EA274" w14:textId="77777777" w:rsidR="006F4BC7" w:rsidRPr="00887E75" w:rsidRDefault="006F4BC7" w:rsidP="00886DF6">
            <w:pPr>
              <w:widowControl/>
              <w:jc w:val="center"/>
              <w:rPr>
                <w:rFonts w:eastAsia="仿宋_GB2312"/>
                <w:b/>
                <w:bCs/>
                <w:color w:val="000000"/>
                <w:kern w:val="0"/>
                <w:szCs w:val="21"/>
              </w:rPr>
            </w:pPr>
            <w:r>
              <w:rPr>
                <w:rFonts w:eastAsia="仿宋_GB2312"/>
                <w:b/>
                <w:bCs/>
                <w:color w:val="000000"/>
                <w:kern w:val="0"/>
                <w:szCs w:val="21"/>
              </w:rPr>
              <w:t>2018</w:t>
            </w:r>
            <w:r w:rsidRPr="00887E75">
              <w:rPr>
                <w:rFonts w:eastAsia="仿宋_GB2312" w:hint="eastAsia"/>
                <w:b/>
                <w:bCs/>
                <w:color w:val="000000"/>
                <w:kern w:val="0"/>
                <w:szCs w:val="21"/>
              </w:rPr>
              <w:t>年</w:t>
            </w:r>
          </w:p>
        </w:tc>
        <w:tc>
          <w:tcPr>
            <w:tcW w:w="1753" w:type="dxa"/>
            <w:tcBorders>
              <w:top w:val="single" w:sz="12" w:space="0" w:color="auto"/>
              <w:bottom w:val="single" w:sz="12" w:space="0" w:color="auto"/>
            </w:tcBorders>
            <w:vAlign w:val="center"/>
          </w:tcPr>
          <w:p w14:paraId="0A7B2DBC" w14:textId="77777777" w:rsidR="006F4BC7" w:rsidRPr="00887E75" w:rsidRDefault="006F4BC7" w:rsidP="00886DF6">
            <w:pPr>
              <w:widowControl/>
              <w:jc w:val="center"/>
              <w:rPr>
                <w:rFonts w:eastAsia="仿宋_GB2312"/>
                <w:b/>
                <w:bCs/>
                <w:color w:val="000000"/>
                <w:kern w:val="0"/>
                <w:szCs w:val="21"/>
              </w:rPr>
            </w:pPr>
            <w:r w:rsidRPr="00887E75">
              <w:rPr>
                <w:rFonts w:eastAsia="仿宋_GB2312" w:hint="eastAsia"/>
                <w:b/>
                <w:bCs/>
                <w:color w:val="000000"/>
                <w:kern w:val="0"/>
                <w:szCs w:val="21"/>
              </w:rPr>
              <w:t>增减额</w:t>
            </w:r>
          </w:p>
        </w:tc>
        <w:tc>
          <w:tcPr>
            <w:tcW w:w="1785" w:type="dxa"/>
            <w:tcBorders>
              <w:top w:val="single" w:sz="12" w:space="0" w:color="auto"/>
              <w:bottom w:val="single" w:sz="12" w:space="0" w:color="auto"/>
            </w:tcBorders>
            <w:vAlign w:val="center"/>
          </w:tcPr>
          <w:p w14:paraId="329646DC" w14:textId="77777777" w:rsidR="006F4BC7" w:rsidRPr="00887E75" w:rsidRDefault="006F4BC7" w:rsidP="00886DF6">
            <w:pPr>
              <w:widowControl/>
              <w:jc w:val="center"/>
              <w:rPr>
                <w:rFonts w:eastAsia="仿宋_GB2312"/>
                <w:b/>
                <w:bCs/>
                <w:color w:val="000000"/>
                <w:kern w:val="0"/>
                <w:szCs w:val="21"/>
              </w:rPr>
            </w:pPr>
            <w:r w:rsidRPr="00887E75">
              <w:rPr>
                <w:rFonts w:eastAsia="仿宋_GB2312" w:hint="eastAsia"/>
                <w:b/>
                <w:bCs/>
                <w:color w:val="000000"/>
                <w:kern w:val="0"/>
                <w:szCs w:val="21"/>
              </w:rPr>
              <w:t>增长率</w:t>
            </w:r>
          </w:p>
        </w:tc>
      </w:tr>
      <w:tr w:rsidR="006F4BC7" w:rsidRPr="00887E75" w14:paraId="144AED32" w14:textId="77777777" w:rsidTr="00A803C2">
        <w:trPr>
          <w:trHeight w:val="567"/>
        </w:trPr>
        <w:tc>
          <w:tcPr>
            <w:tcW w:w="1716" w:type="dxa"/>
            <w:tcBorders>
              <w:top w:val="single" w:sz="12" w:space="0" w:color="auto"/>
            </w:tcBorders>
            <w:vAlign w:val="center"/>
          </w:tcPr>
          <w:p w14:paraId="2B2111C8" w14:textId="77777777" w:rsidR="006F4BC7" w:rsidRPr="00887E75" w:rsidRDefault="006F4BC7" w:rsidP="00886DF6">
            <w:pPr>
              <w:widowControl/>
              <w:jc w:val="center"/>
              <w:rPr>
                <w:rFonts w:ascii="仿宋_GB2312" w:eastAsia="仿宋_GB2312"/>
                <w:color w:val="000000"/>
                <w:kern w:val="0"/>
                <w:szCs w:val="21"/>
              </w:rPr>
            </w:pPr>
            <w:r w:rsidRPr="00887E75">
              <w:rPr>
                <w:rFonts w:ascii="仿宋_GB2312" w:eastAsia="仿宋_GB2312" w:hint="eastAsia"/>
                <w:color w:val="000000"/>
                <w:kern w:val="0"/>
                <w:szCs w:val="21"/>
              </w:rPr>
              <w:t>营业总收入</w:t>
            </w:r>
          </w:p>
        </w:tc>
        <w:tc>
          <w:tcPr>
            <w:tcW w:w="1843" w:type="dxa"/>
            <w:tcBorders>
              <w:top w:val="nil"/>
              <w:left w:val="nil"/>
              <w:bottom w:val="single" w:sz="8" w:space="0" w:color="auto"/>
              <w:right w:val="single" w:sz="8" w:space="0" w:color="auto"/>
            </w:tcBorders>
            <w:vAlign w:val="center"/>
          </w:tcPr>
          <w:p w14:paraId="2EB3ED97" w14:textId="77777777" w:rsidR="006F4BC7" w:rsidRPr="00B35E9A" w:rsidRDefault="006F4BC7" w:rsidP="00886DF6">
            <w:pPr>
              <w:jc w:val="right"/>
              <w:rPr>
                <w:sz w:val="22"/>
              </w:rPr>
            </w:pPr>
            <w:r w:rsidRPr="00B35E9A">
              <w:rPr>
                <w:sz w:val="22"/>
              </w:rPr>
              <w:t>80811.94</w:t>
            </w:r>
          </w:p>
        </w:tc>
        <w:tc>
          <w:tcPr>
            <w:tcW w:w="1843" w:type="dxa"/>
            <w:tcBorders>
              <w:top w:val="nil"/>
              <w:left w:val="nil"/>
              <w:bottom w:val="single" w:sz="8" w:space="0" w:color="auto"/>
              <w:right w:val="single" w:sz="8" w:space="0" w:color="auto"/>
            </w:tcBorders>
            <w:vAlign w:val="center"/>
          </w:tcPr>
          <w:p w14:paraId="47AE7BB8" w14:textId="77777777" w:rsidR="006F4BC7" w:rsidRPr="00B35E9A" w:rsidRDefault="006F4BC7" w:rsidP="00886DF6">
            <w:pPr>
              <w:jc w:val="right"/>
              <w:rPr>
                <w:sz w:val="22"/>
              </w:rPr>
            </w:pPr>
            <w:r>
              <w:rPr>
                <w:sz w:val="22"/>
              </w:rPr>
              <w:t>75791.95</w:t>
            </w:r>
          </w:p>
        </w:tc>
        <w:tc>
          <w:tcPr>
            <w:tcW w:w="1753" w:type="dxa"/>
            <w:tcBorders>
              <w:top w:val="nil"/>
              <w:left w:val="nil"/>
              <w:bottom w:val="single" w:sz="8" w:space="0" w:color="auto"/>
              <w:right w:val="single" w:sz="8" w:space="0" w:color="auto"/>
            </w:tcBorders>
            <w:shd w:val="clear" w:color="000000" w:fill="D9D9D9"/>
            <w:vAlign w:val="center"/>
          </w:tcPr>
          <w:p w14:paraId="0BCD0EB9" w14:textId="77777777" w:rsidR="006F4BC7" w:rsidRPr="00B35E9A" w:rsidRDefault="006F4BC7" w:rsidP="00886DF6">
            <w:pPr>
              <w:jc w:val="right"/>
              <w:rPr>
                <w:sz w:val="22"/>
              </w:rPr>
            </w:pPr>
            <w:r>
              <w:rPr>
                <w:sz w:val="22"/>
              </w:rPr>
              <w:t>5019.99</w:t>
            </w:r>
          </w:p>
        </w:tc>
        <w:tc>
          <w:tcPr>
            <w:tcW w:w="1785" w:type="dxa"/>
            <w:tcBorders>
              <w:top w:val="nil"/>
              <w:left w:val="nil"/>
              <w:bottom w:val="single" w:sz="8" w:space="0" w:color="auto"/>
              <w:right w:val="nil"/>
            </w:tcBorders>
            <w:shd w:val="clear" w:color="000000" w:fill="D9D9D9"/>
            <w:vAlign w:val="center"/>
          </w:tcPr>
          <w:p w14:paraId="54BA909E" w14:textId="77777777" w:rsidR="006F4BC7" w:rsidRDefault="006F4BC7" w:rsidP="00886DF6">
            <w:pPr>
              <w:jc w:val="right"/>
              <w:rPr>
                <w:rFonts w:ascii="宋体" w:cs="宋体"/>
                <w:sz w:val="24"/>
              </w:rPr>
            </w:pPr>
            <w:r>
              <w:t xml:space="preserve">6.62% </w:t>
            </w:r>
          </w:p>
        </w:tc>
      </w:tr>
      <w:tr w:rsidR="006F4BC7" w:rsidRPr="00887E75" w14:paraId="43748A75" w14:textId="77777777" w:rsidTr="00A803C2">
        <w:trPr>
          <w:trHeight w:val="567"/>
        </w:trPr>
        <w:tc>
          <w:tcPr>
            <w:tcW w:w="1716" w:type="dxa"/>
            <w:vAlign w:val="center"/>
          </w:tcPr>
          <w:p w14:paraId="197A4AF1" w14:textId="77777777" w:rsidR="006F4BC7" w:rsidRPr="00887E75" w:rsidRDefault="006F4BC7" w:rsidP="00886DF6">
            <w:pPr>
              <w:widowControl/>
              <w:jc w:val="center"/>
              <w:rPr>
                <w:rFonts w:ascii="仿宋_GB2312" w:eastAsia="仿宋_GB2312"/>
                <w:color w:val="000000"/>
                <w:kern w:val="0"/>
                <w:szCs w:val="21"/>
              </w:rPr>
            </w:pPr>
            <w:r w:rsidRPr="00887E75">
              <w:rPr>
                <w:rFonts w:ascii="仿宋_GB2312" w:eastAsia="仿宋_GB2312" w:hint="eastAsia"/>
                <w:color w:val="000000"/>
                <w:kern w:val="0"/>
                <w:szCs w:val="21"/>
              </w:rPr>
              <w:t>营业总成本</w:t>
            </w:r>
          </w:p>
        </w:tc>
        <w:tc>
          <w:tcPr>
            <w:tcW w:w="1843" w:type="dxa"/>
            <w:tcBorders>
              <w:top w:val="nil"/>
              <w:left w:val="nil"/>
              <w:bottom w:val="single" w:sz="8" w:space="0" w:color="auto"/>
              <w:right w:val="single" w:sz="8" w:space="0" w:color="auto"/>
            </w:tcBorders>
            <w:vAlign w:val="center"/>
          </w:tcPr>
          <w:p w14:paraId="0399C6BD" w14:textId="77777777" w:rsidR="006F4BC7" w:rsidRPr="00B35E9A" w:rsidRDefault="006F4BC7" w:rsidP="00886DF6">
            <w:pPr>
              <w:jc w:val="right"/>
              <w:rPr>
                <w:sz w:val="22"/>
              </w:rPr>
            </w:pPr>
            <w:r>
              <w:rPr>
                <w:sz w:val="22"/>
              </w:rPr>
              <w:t>67050.36</w:t>
            </w:r>
          </w:p>
        </w:tc>
        <w:tc>
          <w:tcPr>
            <w:tcW w:w="1843" w:type="dxa"/>
            <w:tcBorders>
              <w:top w:val="nil"/>
              <w:left w:val="nil"/>
              <w:bottom w:val="single" w:sz="8" w:space="0" w:color="auto"/>
              <w:right w:val="single" w:sz="8" w:space="0" w:color="auto"/>
            </w:tcBorders>
            <w:vAlign w:val="center"/>
          </w:tcPr>
          <w:p w14:paraId="3D69E334" w14:textId="77777777" w:rsidR="006F4BC7" w:rsidRPr="00B35E9A" w:rsidRDefault="006F4BC7" w:rsidP="00886DF6">
            <w:pPr>
              <w:jc w:val="right"/>
              <w:rPr>
                <w:sz w:val="22"/>
              </w:rPr>
            </w:pPr>
            <w:r>
              <w:rPr>
                <w:sz w:val="22"/>
              </w:rPr>
              <w:t>65145.42</w:t>
            </w:r>
          </w:p>
        </w:tc>
        <w:tc>
          <w:tcPr>
            <w:tcW w:w="1753" w:type="dxa"/>
            <w:tcBorders>
              <w:top w:val="nil"/>
              <w:left w:val="nil"/>
              <w:bottom w:val="single" w:sz="8" w:space="0" w:color="auto"/>
              <w:right w:val="single" w:sz="8" w:space="0" w:color="auto"/>
            </w:tcBorders>
            <w:shd w:val="clear" w:color="000000" w:fill="D9D9D9"/>
            <w:vAlign w:val="center"/>
          </w:tcPr>
          <w:p w14:paraId="223E119E" w14:textId="77777777" w:rsidR="006F4BC7" w:rsidRPr="00B35E9A" w:rsidRDefault="006F4BC7" w:rsidP="00886DF6">
            <w:pPr>
              <w:jc w:val="right"/>
              <w:rPr>
                <w:sz w:val="22"/>
              </w:rPr>
            </w:pPr>
            <w:r>
              <w:rPr>
                <w:sz w:val="22"/>
              </w:rPr>
              <w:t>1904.94</w:t>
            </w:r>
          </w:p>
        </w:tc>
        <w:tc>
          <w:tcPr>
            <w:tcW w:w="1785" w:type="dxa"/>
            <w:tcBorders>
              <w:top w:val="nil"/>
              <w:left w:val="nil"/>
              <w:bottom w:val="single" w:sz="8" w:space="0" w:color="auto"/>
              <w:right w:val="nil"/>
            </w:tcBorders>
            <w:shd w:val="clear" w:color="000000" w:fill="D9D9D9"/>
            <w:vAlign w:val="center"/>
          </w:tcPr>
          <w:p w14:paraId="42369811" w14:textId="77777777" w:rsidR="006F4BC7" w:rsidRDefault="006F4BC7" w:rsidP="00886DF6">
            <w:pPr>
              <w:jc w:val="right"/>
              <w:rPr>
                <w:rFonts w:ascii="宋体" w:cs="宋体"/>
                <w:sz w:val="24"/>
              </w:rPr>
            </w:pPr>
            <w:r>
              <w:t xml:space="preserve">2.92% </w:t>
            </w:r>
          </w:p>
        </w:tc>
      </w:tr>
      <w:tr w:rsidR="006F4BC7" w:rsidRPr="00887E75" w14:paraId="3CCC385D" w14:textId="77777777" w:rsidTr="00A803C2">
        <w:trPr>
          <w:trHeight w:val="567"/>
        </w:trPr>
        <w:tc>
          <w:tcPr>
            <w:tcW w:w="1716" w:type="dxa"/>
            <w:vAlign w:val="center"/>
          </w:tcPr>
          <w:p w14:paraId="68F092E0" w14:textId="77777777" w:rsidR="006F4BC7" w:rsidRPr="00887E75" w:rsidRDefault="006F4BC7" w:rsidP="00886DF6">
            <w:pPr>
              <w:widowControl/>
              <w:jc w:val="center"/>
              <w:rPr>
                <w:rFonts w:ascii="仿宋_GB2312" w:eastAsia="仿宋_GB2312"/>
                <w:color w:val="000000"/>
                <w:kern w:val="0"/>
                <w:szCs w:val="21"/>
              </w:rPr>
            </w:pPr>
            <w:r w:rsidRPr="00887E75">
              <w:rPr>
                <w:rFonts w:ascii="仿宋_GB2312" w:eastAsia="仿宋_GB2312" w:hint="eastAsia"/>
                <w:color w:val="000000"/>
                <w:kern w:val="0"/>
                <w:szCs w:val="21"/>
              </w:rPr>
              <w:t>投资收益</w:t>
            </w:r>
          </w:p>
        </w:tc>
        <w:tc>
          <w:tcPr>
            <w:tcW w:w="1843" w:type="dxa"/>
            <w:tcBorders>
              <w:top w:val="nil"/>
              <w:left w:val="nil"/>
              <w:bottom w:val="single" w:sz="8" w:space="0" w:color="auto"/>
              <w:right w:val="single" w:sz="8" w:space="0" w:color="auto"/>
            </w:tcBorders>
            <w:vAlign w:val="center"/>
          </w:tcPr>
          <w:p w14:paraId="703F9C8C" w14:textId="77777777" w:rsidR="006F4BC7" w:rsidRPr="00B35E9A" w:rsidRDefault="006F4BC7" w:rsidP="00886DF6">
            <w:pPr>
              <w:jc w:val="right"/>
              <w:rPr>
                <w:sz w:val="22"/>
              </w:rPr>
            </w:pPr>
            <w:r>
              <w:rPr>
                <w:sz w:val="22"/>
              </w:rPr>
              <w:t>762.41</w:t>
            </w:r>
          </w:p>
        </w:tc>
        <w:tc>
          <w:tcPr>
            <w:tcW w:w="1843" w:type="dxa"/>
            <w:tcBorders>
              <w:top w:val="nil"/>
              <w:left w:val="nil"/>
              <w:bottom w:val="single" w:sz="8" w:space="0" w:color="auto"/>
              <w:right w:val="single" w:sz="8" w:space="0" w:color="auto"/>
            </w:tcBorders>
            <w:vAlign w:val="center"/>
          </w:tcPr>
          <w:p w14:paraId="5365ACC1" w14:textId="77777777" w:rsidR="006F4BC7" w:rsidRPr="00B35E9A" w:rsidRDefault="006F4BC7" w:rsidP="00886DF6">
            <w:pPr>
              <w:jc w:val="right"/>
              <w:rPr>
                <w:sz w:val="22"/>
              </w:rPr>
            </w:pPr>
            <w:r>
              <w:rPr>
                <w:sz w:val="22"/>
              </w:rPr>
              <w:t>271.81</w:t>
            </w:r>
          </w:p>
        </w:tc>
        <w:tc>
          <w:tcPr>
            <w:tcW w:w="1753" w:type="dxa"/>
            <w:tcBorders>
              <w:top w:val="nil"/>
              <w:left w:val="nil"/>
              <w:bottom w:val="single" w:sz="8" w:space="0" w:color="auto"/>
              <w:right w:val="single" w:sz="8" w:space="0" w:color="auto"/>
            </w:tcBorders>
            <w:shd w:val="clear" w:color="000000" w:fill="D9D9D9"/>
            <w:vAlign w:val="center"/>
          </w:tcPr>
          <w:p w14:paraId="7EA158BA" w14:textId="77777777" w:rsidR="006F4BC7" w:rsidRPr="00B35E9A" w:rsidRDefault="006F4BC7" w:rsidP="00886DF6">
            <w:pPr>
              <w:jc w:val="right"/>
              <w:rPr>
                <w:sz w:val="22"/>
              </w:rPr>
            </w:pPr>
            <w:r>
              <w:rPr>
                <w:sz w:val="22"/>
              </w:rPr>
              <w:t>490.60</w:t>
            </w:r>
          </w:p>
        </w:tc>
        <w:tc>
          <w:tcPr>
            <w:tcW w:w="1785" w:type="dxa"/>
            <w:tcBorders>
              <w:top w:val="nil"/>
              <w:left w:val="nil"/>
              <w:bottom w:val="single" w:sz="8" w:space="0" w:color="auto"/>
              <w:right w:val="nil"/>
            </w:tcBorders>
            <w:shd w:val="clear" w:color="000000" w:fill="D9D9D9"/>
            <w:vAlign w:val="center"/>
          </w:tcPr>
          <w:p w14:paraId="0ED5D800" w14:textId="77777777" w:rsidR="006F4BC7" w:rsidRPr="00887E75" w:rsidRDefault="006F4BC7" w:rsidP="00886DF6">
            <w:pPr>
              <w:jc w:val="right"/>
            </w:pPr>
            <w:r>
              <w:t>180.50%</w:t>
            </w:r>
          </w:p>
        </w:tc>
      </w:tr>
      <w:tr w:rsidR="006F4BC7" w:rsidRPr="00887E75" w14:paraId="677ECB12" w14:textId="77777777" w:rsidTr="00A803C2">
        <w:trPr>
          <w:trHeight w:val="567"/>
        </w:trPr>
        <w:tc>
          <w:tcPr>
            <w:tcW w:w="1716" w:type="dxa"/>
            <w:vAlign w:val="center"/>
          </w:tcPr>
          <w:p w14:paraId="019B22C1" w14:textId="77777777" w:rsidR="006F4BC7" w:rsidRPr="00887E75" w:rsidRDefault="006F4BC7" w:rsidP="00886DF6">
            <w:pPr>
              <w:widowControl/>
              <w:jc w:val="center"/>
              <w:rPr>
                <w:rFonts w:ascii="仿宋_GB2312" w:eastAsia="仿宋_GB2312"/>
                <w:color w:val="000000"/>
                <w:kern w:val="0"/>
                <w:szCs w:val="21"/>
              </w:rPr>
            </w:pPr>
            <w:r w:rsidRPr="00887E75">
              <w:rPr>
                <w:rFonts w:ascii="仿宋_GB2312" w:eastAsia="仿宋_GB2312" w:hint="eastAsia"/>
                <w:color w:val="000000"/>
                <w:kern w:val="0"/>
                <w:szCs w:val="21"/>
              </w:rPr>
              <w:t>营业利润</w:t>
            </w:r>
          </w:p>
        </w:tc>
        <w:tc>
          <w:tcPr>
            <w:tcW w:w="1843" w:type="dxa"/>
            <w:tcBorders>
              <w:top w:val="nil"/>
              <w:left w:val="nil"/>
              <w:bottom w:val="single" w:sz="8" w:space="0" w:color="auto"/>
              <w:right w:val="single" w:sz="8" w:space="0" w:color="auto"/>
            </w:tcBorders>
            <w:shd w:val="clear" w:color="000000" w:fill="D9D9D9"/>
            <w:vAlign w:val="center"/>
          </w:tcPr>
          <w:p w14:paraId="3790E6DC" w14:textId="77777777" w:rsidR="006F4BC7" w:rsidRPr="00B35E9A" w:rsidRDefault="006F4BC7" w:rsidP="00886DF6">
            <w:pPr>
              <w:jc w:val="right"/>
              <w:rPr>
                <w:sz w:val="22"/>
              </w:rPr>
            </w:pPr>
            <w:r>
              <w:rPr>
                <w:sz w:val="22"/>
              </w:rPr>
              <w:t>15940.26</w:t>
            </w:r>
          </w:p>
        </w:tc>
        <w:tc>
          <w:tcPr>
            <w:tcW w:w="1843" w:type="dxa"/>
            <w:tcBorders>
              <w:top w:val="nil"/>
              <w:left w:val="nil"/>
              <w:bottom w:val="single" w:sz="8" w:space="0" w:color="auto"/>
              <w:right w:val="single" w:sz="8" w:space="0" w:color="auto"/>
            </w:tcBorders>
            <w:shd w:val="clear" w:color="000000" w:fill="D9D9D9"/>
            <w:vAlign w:val="center"/>
          </w:tcPr>
          <w:p w14:paraId="4CF547DC" w14:textId="77777777" w:rsidR="006F4BC7" w:rsidRPr="00B35E9A" w:rsidRDefault="006F4BC7" w:rsidP="00886DF6">
            <w:pPr>
              <w:jc w:val="right"/>
              <w:rPr>
                <w:sz w:val="22"/>
              </w:rPr>
            </w:pPr>
            <w:r>
              <w:rPr>
                <w:sz w:val="22"/>
              </w:rPr>
              <w:t>13773.95</w:t>
            </w:r>
          </w:p>
        </w:tc>
        <w:tc>
          <w:tcPr>
            <w:tcW w:w="1753" w:type="dxa"/>
            <w:tcBorders>
              <w:top w:val="nil"/>
              <w:left w:val="nil"/>
              <w:bottom w:val="single" w:sz="8" w:space="0" w:color="auto"/>
              <w:right w:val="single" w:sz="8" w:space="0" w:color="auto"/>
            </w:tcBorders>
            <w:shd w:val="clear" w:color="000000" w:fill="D9D9D9"/>
            <w:vAlign w:val="center"/>
          </w:tcPr>
          <w:p w14:paraId="78D2A23A" w14:textId="77777777" w:rsidR="006F4BC7" w:rsidRPr="00B35E9A" w:rsidRDefault="006F4BC7" w:rsidP="00886DF6">
            <w:pPr>
              <w:jc w:val="right"/>
              <w:rPr>
                <w:sz w:val="22"/>
              </w:rPr>
            </w:pPr>
            <w:r>
              <w:rPr>
                <w:sz w:val="22"/>
              </w:rPr>
              <w:t>2166.31</w:t>
            </w:r>
          </w:p>
        </w:tc>
        <w:tc>
          <w:tcPr>
            <w:tcW w:w="1785" w:type="dxa"/>
            <w:tcBorders>
              <w:top w:val="nil"/>
              <w:left w:val="nil"/>
              <w:bottom w:val="single" w:sz="8" w:space="0" w:color="auto"/>
              <w:right w:val="nil"/>
            </w:tcBorders>
            <w:shd w:val="clear" w:color="000000" w:fill="D9D9D9"/>
            <w:vAlign w:val="center"/>
          </w:tcPr>
          <w:p w14:paraId="43A68D12" w14:textId="77777777" w:rsidR="006F4BC7" w:rsidRDefault="006F4BC7" w:rsidP="00886DF6">
            <w:pPr>
              <w:jc w:val="right"/>
              <w:rPr>
                <w:rFonts w:ascii="宋体" w:cs="宋体"/>
                <w:sz w:val="24"/>
              </w:rPr>
            </w:pPr>
            <w:r>
              <w:t xml:space="preserve">15.73% </w:t>
            </w:r>
          </w:p>
        </w:tc>
      </w:tr>
      <w:tr w:rsidR="006F4BC7" w:rsidRPr="00887E75" w14:paraId="29212A75" w14:textId="77777777" w:rsidTr="00A803C2">
        <w:trPr>
          <w:trHeight w:val="567"/>
        </w:trPr>
        <w:tc>
          <w:tcPr>
            <w:tcW w:w="1716" w:type="dxa"/>
            <w:vAlign w:val="center"/>
          </w:tcPr>
          <w:p w14:paraId="06416216" w14:textId="77777777" w:rsidR="006F4BC7" w:rsidRPr="00887E75" w:rsidRDefault="006F4BC7" w:rsidP="00886DF6">
            <w:pPr>
              <w:widowControl/>
              <w:jc w:val="center"/>
              <w:rPr>
                <w:rFonts w:ascii="仿宋_GB2312" w:eastAsia="仿宋_GB2312"/>
                <w:color w:val="000000"/>
                <w:kern w:val="0"/>
                <w:szCs w:val="21"/>
              </w:rPr>
            </w:pPr>
            <w:r w:rsidRPr="00887E75">
              <w:rPr>
                <w:rFonts w:ascii="仿宋_GB2312" w:eastAsia="仿宋_GB2312" w:hint="eastAsia"/>
                <w:color w:val="000000"/>
                <w:kern w:val="0"/>
                <w:szCs w:val="21"/>
              </w:rPr>
              <w:t>营业外收入</w:t>
            </w:r>
          </w:p>
        </w:tc>
        <w:tc>
          <w:tcPr>
            <w:tcW w:w="1843" w:type="dxa"/>
            <w:tcBorders>
              <w:top w:val="nil"/>
              <w:left w:val="nil"/>
              <w:bottom w:val="single" w:sz="8" w:space="0" w:color="auto"/>
              <w:right w:val="single" w:sz="8" w:space="0" w:color="auto"/>
            </w:tcBorders>
            <w:vAlign w:val="center"/>
          </w:tcPr>
          <w:p w14:paraId="155C92BA" w14:textId="77777777" w:rsidR="006F4BC7" w:rsidRPr="00B35E9A" w:rsidRDefault="006F4BC7" w:rsidP="00886DF6">
            <w:pPr>
              <w:jc w:val="right"/>
              <w:rPr>
                <w:sz w:val="22"/>
              </w:rPr>
            </w:pPr>
            <w:r>
              <w:rPr>
                <w:sz w:val="22"/>
              </w:rPr>
              <w:t>99.94</w:t>
            </w:r>
          </w:p>
        </w:tc>
        <w:tc>
          <w:tcPr>
            <w:tcW w:w="1843" w:type="dxa"/>
            <w:tcBorders>
              <w:top w:val="nil"/>
              <w:left w:val="nil"/>
              <w:bottom w:val="single" w:sz="8" w:space="0" w:color="auto"/>
              <w:right w:val="single" w:sz="8" w:space="0" w:color="auto"/>
            </w:tcBorders>
            <w:vAlign w:val="center"/>
          </w:tcPr>
          <w:p w14:paraId="1B75ADE8" w14:textId="77777777" w:rsidR="006F4BC7" w:rsidRPr="00B35E9A" w:rsidRDefault="006F4BC7" w:rsidP="00886DF6">
            <w:pPr>
              <w:jc w:val="right"/>
              <w:rPr>
                <w:sz w:val="22"/>
              </w:rPr>
            </w:pPr>
            <w:r>
              <w:rPr>
                <w:sz w:val="22"/>
              </w:rPr>
              <w:t>173.33</w:t>
            </w:r>
          </w:p>
        </w:tc>
        <w:tc>
          <w:tcPr>
            <w:tcW w:w="1753" w:type="dxa"/>
            <w:tcBorders>
              <w:top w:val="nil"/>
              <w:left w:val="nil"/>
              <w:bottom w:val="single" w:sz="8" w:space="0" w:color="auto"/>
              <w:right w:val="single" w:sz="8" w:space="0" w:color="auto"/>
            </w:tcBorders>
            <w:shd w:val="clear" w:color="000000" w:fill="D9D9D9"/>
            <w:vAlign w:val="center"/>
          </w:tcPr>
          <w:p w14:paraId="0C9D69F0" w14:textId="77777777" w:rsidR="006F4BC7" w:rsidRPr="00B35E9A" w:rsidRDefault="006F4BC7" w:rsidP="00886DF6">
            <w:pPr>
              <w:jc w:val="right"/>
              <w:rPr>
                <w:sz w:val="22"/>
              </w:rPr>
            </w:pPr>
            <w:r>
              <w:rPr>
                <w:sz w:val="22"/>
              </w:rPr>
              <w:t>-73.39</w:t>
            </w:r>
          </w:p>
        </w:tc>
        <w:tc>
          <w:tcPr>
            <w:tcW w:w="1785" w:type="dxa"/>
            <w:tcBorders>
              <w:top w:val="nil"/>
              <w:left w:val="nil"/>
              <w:bottom w:val="single" w:sz="8" w:space="0" w:color="auto"/>
              <w:right w:val="nil"/>
            </w:tcBorders>
            <w:shd w:val="clear" w:color="000000" w:fill="D9D9D9"/>
            <w:vAlign w:val="center"/>
          </w:tcPr>
          <w:p w14:paraId="0DF5C8B3" w14:textId="77777777" w:rsidR="006F4BC7" w:rsidRDefault="006F4BC7" w:rsidP="00886DF6">
            <w:pPr>
              <w:jc w:val="right"/>
              <w:rPr>
                <w:rFonts w:ascii="宋体" w:cs="宋体"/>
                <w:sz w:val="24"/>
              </w:rPr>
            </w:pPr>
            <w:r>
              <w:t xml:space="preserve">-42.34% </w:t>
            </w:r>
          </w:p>
        </w:tc>
      </w:tr>
      <w:tr w:rsidR="006F4BC7" w:rsidRPr="00887E75" w14:paraId="27CA2AB5" w14:textId="77777777" w:rsidTr="00A803C2">
        <w:trPr>
          <w:trHeight w:val="567"/>
        </w:trPr>
        <w:tc>
          <w:tcPr>
            <w:tcW w:w="1716" w:type="dxa"/>
            <w:vAlign w:val="center"/>
          </w:tcPr>
          <w:p w14:paraId="7866A384" w14:textId="77777777" w:rsidR="006F4BC7" w:rsidRPr="00887E75" w:rsidRDefault="006F4BC7" w:rsidP="00886DF6">
            <w:pPr>
              <w:widowControl/>
              <w:jc w:val="center"/>
              <w:rPr>
                <w:rFonts w:ascii="仿宋_GB2312" w:eastAsia="仿宋_GB2312"/>
                <w:color w:val="000000"/>
                <w:kern w:val="0"/>
                <w:szCs w:val="21"/>
              </w:rPr>
            </w:pPr>
            <w:r w:rsidRPr="00887E75">
              <w:rPr>
                <w:rFonts w:ascii="仿宋_GB2312" w:eastAsia="仿宋_GB2312" w:hint="eastAsia"/>
                <w:color w:val="000000"/>
                <w:kern w:val="0"/>
                <w:szCs w:val="21"/>
              </w:rPr>
              <w:t>营业外支出</w:t>
            </w:r>
          </w:p>
        </w:tc>
        <w:tc>
          <w:tcPr>
            <w:tcW w:w="1843" w:type="dxa"/>
            <w:tcBorders>
              <w:top w:val="nil"/>
              <w:left w:val="nil"/>
              <w:bottom w:val="single" w:sz="8" w:space="0" w:color="auto"/>
              <w:right w:val="single" w:sz="8" w:space="0" w:color="auto"/>
            </w:tcBorders>
            <w:vAlign w:val="center"/>
          </w:tcPr>
          <w:p w14:paraId="149BF711" w14:textId="77777777" w:rsidR="006F4BC7" w:rsidRPr="00B35E9A" w:rsidRDefault="006F4BC7" w:rsidP="00886DF6">
            <w:pPr>
              <w:jc w:val="right"/>
              <w:rPr>
                <w:sz w:val="22"/>
              </w:rPr>
            </w:pPr>
            <w:r>
              <w:rPr>
                <w:sz w:val="22"/>
              </w:rPr>
              <w:t>23.40</w:t>
            </w:r>
          </w:p>
        </w:tc>
        <w:tc>
          <w:tcPr>
            <w:tcW w:w="1843" w:type="dxa"/>
            <w:tcBorders>
              <w:top w:val="nil"/>
              <w:left w:val="nil"/>
              <w:bottom w:val="single" w:sz="8" w:space="0" w:color="auto"/>
              <w:right w:val="single" w:sz="8" w:space="0" w:color="auto"/>
            </w:tcBorders>
            <w:vAlign w:val="center"/>
          </w:tcPr>
          <w:p w14:paraId="3E62013F" w14:textId="77777777" w:rsidR="006F4BC7" w:rsidRPr="00B35E9A" w:rsidRDefault="006F4BC7" w:rsidP="00886DF6">
            <w:pPr>
              <w:jc w:val="right"/>
              <w:rPr>
                <w:sz w:val="22"/>
              </w:rPr>
            </w:pPr>
            <w:r>
              <w:rPr>
                <w:sz w:val="22"/>
              </w:rPr>
              <w:t>153.40</w:t>
            </w:r>
          </w:p>
        </w:tc>
        <w:tc>
          <w:tcPr>
            <w:tcW w:w="1753" w:type="dxa"/>
            <w:tcBorders>
              <w:top w:val="nil"/>
              <w:left w:val="nil"/>
              <w:bottom w:val="single" w:sz="8" w:space="0" w:color="auto"/>
              <w:right w:val="single" w:sz="8" w:space="0" w:color="auto"/>
            </w:tcBorders>
            <w:shd w:val="clear" w:color="000000" w:fill="D9D9D9"/>
            <w:vAlign w:val="center"/>
          </w:tcPr>
          <w:p w14:paraId="50D69EF5" w14:textId="77777777" w:rsidR="006F4BC7" w:rsidRPr="00B35E9A" w:rsidRDefault="006F4BC7" w:rsidP="00886DF6">
            <w:pPr>
              <w:jc w:val="right"/>
              <w:rPr>
                <w:sz w:val="22"/>
              </w:rPr>
            </w:pPr>
            <w:r>
              <w:rPr>
                <w:sz w:val="22"/>
              </w:rPr>
              <w:t>-130.00</w:t>
            </w:r>
          </w:p>
        </w:tc>
        <w:tc>
          <w:tcPr>
            <w:tcW w:w="1785" w:type="dxa"/>
            <w:tcBorders>
              <w:top w:val="nil"/>
              <w:left w:val="nil"/>
              <w:bottom w:val="single" w:sz="8" w:space="0" w:color="auto"/>
              <w:right w:val="nil"/>
            </w:tcBorders>
            <w:shd w:val="clear" w:color="000000" w:fill="D9D9D9"/>
            <w:vAlign w:val="center"/>
          </w:tcPr>
          <w:p w14:paraId="549D0B5F" w14:textId="77777777" w:rsidR="006F4BC7" w:rsidRDefault="006F4BC7" w:rsidP="00886DF6">
            <w:pPr>
              <w:jc w:val="right"/>
              <w:rPr>
                <w:rFonts w:ascii="宋体" w:cs="宋体"/>
                <w:sz w:val="24"/>
              </w:rPr>
            </w:pPr>
            <w:r>
              <w:t xml:space="preserve">-84.75% </w:t>
            </w:r>
          </w:p>
        </w:tc>
      </w:tr>
      <w:tr w:rsidR="006F4BC7" w:rsidRPr="00887E75" w14:paraId="15C42A0F" w14:textId="77777777" w:rsidTr="00A803C2">
        <w:trPr>
          <w:trHeight w:val="567"/>
        </w:trPr>
        <w:tc>
          <w:tcPr>
            <w:tcW w:w="1716" w:type="dxa"/>
            <w:vAlign w:val="center"/>
          </w:tcPr>
          <w:p w14:paraId="11D52A83" w14:textId="77777777" w:rsidR="006F4BC7" w:rsidRPr="00887E75" w:rsidRDefault="006F4BC7" w:rsidP="00886DF6">
            <w:pPr>
              <w:widowControl/>
              <w:jc w:val="center"/>
              <w:rPr>
                <w:rFonts w:ascii="仿宋_GB2312" w:eastAsia="仿宋_GB2312"/>
                <w:color w:val="000000"/>
                <w:kern w:val="0"/>
                <w:szCs w:val="21"/>
              </w:rPr>
            </w:pPr>
            <w:r w:rsidRPr="00887E75">
              <w:rPr>
                <w:rFonts w:ascii="仿宋_GB2312" w:eastAsia="仿宋_GB2312" w:hint="eastAsia"/>
                <w:color w:val="000000"/>
                <w:kern w:val="0"/>
                <w:szCs w:val="21"/>
              </w:rPr>
              <w:t>利润总额</w:t>
            </w:r>
          </w:p>
        </w:tc>
        <w:tc>
          <w:tcPr>
            <w:tcW w:w="1843" w:type="dxa"/>
            <w:tcBorders>
              <w:top w:val="nil"/>
              <w:left w:val="nil"/>
              <w:bottom w:val="single" w:sz="8" w:space="0" w:color="auto"/>
              <w:right w:val="single" w:sz="8" w:space="0" w:color="auto"/>
            </w:tcBorders>
            <w:shd w:val="clear" w:color="000000" w:fill="D9D9D9"/>
            <w:vAlign w:val="center"/>
          </w:tcPr>
          <w:p w14:paraId="39CCA561" w14:textId="77777777" w:rsidR="006F4BC7" w:rsidRPr="00B35E9A" w:rsidRDefault="006F4BC7" w:rsidP="00886DF6">
            <w:pPr>
              <w:jc w:val="right"/>
              <w:rPr>
                <w:sz w:val="22"/>
              </w:rPr>
            </w:pPr>
            <w:r>
              <w:rPr>
                <w:sz w:val="22"/>
              </w:rPr>
              <w:t>16016.80</w:t>
            </w:r>
          </w:p>
        </w:tc>
        <w:tc>
          <w:tcPr>
            <w:tcW w:w="1843" w:type="dxa"/>
            <w:tcBorders>
              <w:top w:val="nil"/>
              <w:left w:val="nil"/>
              <w:bottom w:val="single" w:sz="8" w:space="0" w:color="auto"/>
              <w:right w:val="single" w:sz="8" w:space="0" w:color="auto"/>
            </w:tcBorders>
            <w:shd w:val="clear" w:color="000000" w:fill="D9D9D9"/>
            <w:vAlign w:val="center"/>
          </w:tcPr>
          <w:p w14:paraId="7AF14025" w14:textId="77777777" w:rsidR="006F4BC7" w:rsidRPr="00B35E9A" w:rsidRDefault="006F4BC7" w:rsidP="00886DF6">
            <w:pPr>
              <w:jc w:val="right"/>
              <w:rPr>
                <w:sz w:val="22"/>
              </w:rPr>
            </w:pPr>
            <w:r>
              <w:rPr>
                <w:sz w:val="22"/>
              </w:rPr>
              <w:t>13793.88</w:t>
            </w:r>
          </w:p>
        </w:tc>
        <w:tc>
          <w:tcPr>
            <w:tcW w:w="1753" w:type="dxa"/>
            <w:tcBorders>
              <w:top w:val="nil"/>
              <w:left w:val="nil"/>
              <w:bottom w:val="single" w:sz="8" w:space="0" w:color="auto"/>
              <w:right w:val="single" w:sz="8" w:space="0" w:color="auto"/>
            </w:tcBorders>
            <w:shd w:val="clear" w:color="000000" w:fill="D9D9D9"/>
            <w:vAlign w:val="center"/>
          </w:tcPr>
          <w:p w14:paraId="1436B757" w14:textId="77777777" w:rsidR="006F4BC7" w:rsidRPr="00B35E9A" w:rsidRDefault="006F4BC7" w:rsidP="00886DF6">
            <w:pPr>
              <w:jc w:val="right"/>
              <w:rPr>
                <w:sz w:val="22"/>
              </w:rPr>
            </w:pPr>
            <w:r>
              <w:rPr>
                <w:sz w:val="22"/>
              </w:rPr>
              <w:t>2222.92</w:t>
            </w:r>
          </w:p>
        </w:tc>
        <w:tc>
          <w:tcPr>
            <w:tcW w:w="1785" w:type="dxa"/>
            <w:tcBorders>
              <w:top w:val="nil"/>
              <w:left w:val="nil"/>
              <w:bottom w:val="single" w:sz="8" w:space="0" w:color="auto"/>
              <w:right w:val="nil"/>
            </w:tcBorders>
            <w:shd w:val="clear" w:color="000000" w:fill="D9D9D9"/>
            <w:vAlign w:val="center"/>
          </w:tcPr>
          <w:p w14:paraId="12244DAA" w14:textId="77777777" w:rsidR="006F4BC7" w:rsidRDefault="006F4BC7" w:rsidP="00886DF6">
            <w:pPr>
              <w:jc w:val="right"/>
              <w:rPr>
                <w:rFonts w:ascii="宋体" w:cs="宋体"/>
                <w:sz w:val="24"/>
              </w:rPr>
            </w:pPr>
            <w:r>
              <w:t xml:space="preserve">16.12% </w:t>
            </w:r>
          </w:p>
        </w:tc>
      </w:tr>
      <w:tr w:rsidR="006F4BC7" w:rsidRPr="00887E75" w14:paraId="5D5F8BB9" w14:textId="77777777" w:rsidTr="00A803C2">
        <w:trPr>
          <w:trHeight w:val="567"/>
        </w:trPr>
        <w:tc>
          <w:tcPr>
            <w:tcW w:w="1716" w:type="dxa"/>
            <w:tcBorders>
              <w:bottom w:val="single" w:sz="12" w:space="0" w:color="auto"/>
            </w:tcBorders>
            <w:vAlign w:val="center"/>
          </w:tcPr>
          <w:p w14:paraId="218E36E0" w14:textId="77777777" w:rsidR="006F4BC7" w:rsidRPr="00887E75" w:rsidRDefault="006F4BC7" w:rsidP="00886DF6">
            <w:pPr>
              <w:widowControl/>
              <w:jc w:val="center"/>
              <w:rPr>
                <w:rFonts w:ascii="仿宋_GB2312" w:eastAsia="仿宋_GB2312"/>
                <w:color w:val="000000"/>
                <w:kern w:val="0"/>
                <w:szCs w:val="21"/>
              </w:rPr>
            </w:pPr>
            <w:r w:rsidRPr="00887E75">
              <w:rPr>
                <w:rFonts w:ascii="仿宋_GB2312" w:eastAsia="仿宋_GB2312" w:hint="eastAsia"/>
                <w:color w:val="000000"/>
                <w:kern w:val="0"/>
                <w:szCs w:val="21"/>
              </w:rPr>
              <w:t>净利润</w:t>
            </w:r>
          </w:p>
        </w:tc>
        <w:tc>
          <w:tcPr>
            <w:tcW w:w="1843" w:type="dxa"/>
            <w:tcBorders>
              <w:top w:val="nil"/>
              <w:left w:val="nil"/>
              <w:bottom w:val="single" w:sz="12" w:space="0" w:color="auto"/>
              <w:right w:val="single" w:sz="8" w:space="0" w:color="auto"/>
            </w:tcBorders>
            <w:vAlign w:val="center"/>
          </w:tcPr>
          <w:p w14:paraId="67DBF668" w14:textId="77777777" w:rsidR="006F4BC7" w:rsidRPr="00B35E9A" w:rsidRDefault="006F4BC7" w:rsidP="00886DF6">
            <w:pPr>
              <w:jc w:val="right"/>
              <w:rPr>
                <w:sz w:val="22"/>
              </w:rPr>
            </w:pPr>
            <w:r>
              <w:rPr>
                <w:sz w:val="22"/>
              </w:rPr>
              <w:t>15010.82</w:t>
            </w:r>
          </w:p>
        </w:tc>
        <w:tc>
          <w:tcPr>
            <w:tcW w:w="1843" w:type="dxa"/>
            <w:tcBorders>
              <w:top w:val="nil"/>
              <w:left w:val="nil"/>
              <w:bottom w:val="single" w:sz="12" w:space="0" w:color="auto"/>
              <w:right w:val="single" w:sz="8" w:space="0" w:color="auto"/>
            </w:tcBorders>
            <w:vAlign w:val="center"/>
          </w:tcPr>
          <w:p w14:paraId="7C88D51C" w14:textId="77777777" w:rsidR="006F4BC7" w:rsidRPr="00B35E9A" w:rsidRDefault="006F4BC7" w:rsidP="00886DF6">
            <w:pPr>
              <w:jc w:val="right"/>
              <w:rPr>
                <w:sz w:val="22"/>
              </w:rPr>
            </w:pPr>
            <w:r>
              <w:rPr>
                <w:sz w:val="22"/>
              </w:rPr>
              <w:t>13131.44</w:t>
            </w:r>
          </w:p>
        </w:tc>
        <w:tc>
          <w:tcPr>
            <w:tcW w:w="1753" w:type="dxa"/>
            <w:tcBorders>
              <w:top w:val="nil"/>
              <w:left w:val="nil"/>
              <w:bottom w:val="single" w:sz="8" w:space="0" w:color="auto"/>
              <w:right w:val="single" w:sz="8" w:space="0" w:color="auto"/>
            </w:tcBorders>
            <w:shd w:val="clear" w:color="000000" w:fill="D9D9D9"/>
            <w:vAlign w:val="center"/>
          </w:tcPr>
          <w:p w14:paraId="28649181" w14:textId="77777777" w:rsidR="006F4BC7" w:rsidRPr="00B35E9A" w:rsidRDefault="006F4BC7" w:rsidP="00886DF6">
            <w:pPr>
              <w:jc w:val="right"/>
              <w:rPr>
                <w:sz w:val="22"/>
              </w:rPr>
            </w:pPr>
            <w:r>
              <w:rPr>
                <w:sz w:val="22"/>
              </w:rPr>
              <w:t>1879.38</w:t>
            </w:r>
          </w:p>
        </w:tc>
        <w:tc>
          <w:tcPr>
            <w:tcW w:w="1785" w:type="dxa"/>
            <w:tcBorders>
              <w:top w:val="nil"/>
              <w:left w:val="nil"/>
              <w:bottom w:val="single" w:sz="8" w:space="0" w:color="auto"/>
              <w:right w:val="nil"/>
            </w:tcBorders>
            <w:shd w:val="clear" w:color="000000" w:fill="D9D9D9"/>
            <w:vAlign w:val="center"/>
          </w:tcPr>
          <w:p w14:paraId="352EBEEE" w14:textId="77777777" w:rsidR="006F4BC7" w:rsidRDefault="006F4BC7" w:rsidP="00886DF6">
            <w:pPr>
              <w:jc w:val="right"/>
              <w:rPr>
                <w:rFonts w:ascii="宋体" w:cs="宋体"/>
                <w:sz w:val="24"/>
              </w:rPr>
            </w:pPr>
            <w:r>
              <w:t xml:space="preserve">14.31% </w:t>
            </w:r>
          </w:p>
        </w:tc>
      </w:tr>
    </w:tbl>
    <w:p w14:paraId="35801B30" w14:textId="77777777" w:rsidR="006F4BC7" w:rsidRPr="0077624D" w:rsidRDefault="006F4BC7" w:rsidP="0077624D">
      <w:pPr>
        <w:spacing w:line="560" w:lineRule="exact"/>
        <w:ind w:firstLine="645"/>
        <w:rPr>
          <w:rFonts w:ascii="仿宋" w:eastAsia="仿宋" w:hAnsi="仿宋"/>
          <w:sz w:val="32"/>
          <w:szCs w:val="32"/>
        </w:rPr>
      </w:pPr>
      <w:r w:rsidRPr="0077624D">
        <w:rPr>
          <w:rFonts w:ascii="仿宋" w:eastAsia="仿宋" w:hAnsi="仿宋" w:hint="eastAsia"/>
          <w:sz w:val="32"/>
          <w:szCs w:val="32"/>
        </w:rPr>
        <w:t>本次合并范围内的企业经营业务涉及资产经营、图书报刊出版、资产租赁、物业服务等行业领域，其中出版行业占据主要地位。</w:t>
      </w:r>
      <w:r w:rsidRPr="0077624D">
        <w:rPr>
          <w:rFonts w:ascii="仿宋" w:eastAsia="仿宋" w:hAnsi="仿宋"/>
          <w:sz w:val="32"/>
          <w:szCs w:val="32"/>
        </w:rPr>
        <w:t>2019</w:t>
      </w:r>
      <w:r w:rsidRPr="0077624D">
        <w:rPr>
          <w:rFonts w:ascii="仿宋" w:eastAsia="仿宋" w:hAnsi="仿宋" w:hint="eastAsia"/>
          <w:sz w:val="32"/>
          <w:szCs w:val="32"/>
        </w:rPr>
        <w:t>年度，中国人民大学出版社有限公司营业总收入</w:t>
      </w:r>
      <w:r w:rsidRPr="0077624D">
        <w:rPr>
          <w:rFonts w:ascii="仿宋" w:eastAsia="仿宋" w:hAnsi="仿宋"/>
          <w:sz w:val="32"/>
          <w:szCs w:val="32"/>
        </w:rPr>
        <w:t>57,631.58</w:t>
      </w:r>
      <w:r w:rsidRPr="0077624D">
        <w:rPr>
          <w:rFonts w:ascii="仿宋" w:eastAsia="仿宋" w:hAnsi="仿宋" w:hint="eastAsia"/>
          <w:sz w:val="32"/>
          <w:szCs w:val="32"/>
        </w:rPr>
        <w:t>万元，书报资料中心营业总收入</w:t>
      </w:r>
      <w:r w:rsidRPr="0077624D">
        <w:rPr>
          <w:rFonts w:ascii="仿宋" w:eastAsia="仿宋" w:hAnsi="仿宋"/>
          <w:sz w:val="32"/>
          <w:szCs w:val="32"/>
        </w:rPr>
        <w:t>6999.05</w:t>
      </w:r>
      <w:r w:rsidRPr="0077624D">
        <w:rPr>
          <w:rFonts w:ascii="仿宋" w:eastAsia="仿宋" w:hAnsi="仿宋" w:hint="eastAsia"/>
          <w:sz w:val="32"/>
          <w:szCs w:val="32"/>
        </w:rPr>
        <w:t>万元，合计占全校企业营业总收入的</w:t>
      </w:r>
      <w:r w:rsidRPr="0077624D">
        <w:rPr>
          <w:rFonts w:ascii="仿宋" w:eastAsia="仿宋" w:hAnsi="仿宋"/>
          <w:sz w:val="32"/>
          <w:szCs w:val="32"/>
        </w:rPr>
        <w:t>79.98%</w:t>
      </w:r>
      <w:r w:rsidRPr="0077624D">
        <w:rPr>
          <w:rFonts w:ascii="仿宋" w:eastAsia="仿宋" w:hAnsi="仿宋" w:hint="eastAsia"/>
          <w:sz w:val="32"/>
          <w:szCs w:val="32"/>
        </w:rPr>
        <w:t>；中国人民大学出版社有限公司实现净利润</w:t>
      </w:r>
      <w:r w:rsidRPr="0077624D">
        <w:rPr>
          <w:rFonts w:ascii="仿宋" w:eastAsia="仿宋" w:hAnsi="仿宋"/>
          <w:sz w:val="32"/>
          <w:szCs w:val="32"/>
        </w:rPr>
        <w:t>11071.41</w:t>
      </w:r>
      <w:r w:rsidRPr="0077624D">
        <w:rPr>
          <w:rFonts w:ascii="仿宋" w:eastAsia="仿宋" w:hAnsi="仿宋" w:hint="eastAsia"/>
          <w:sz w:val="32"/>
          <w:szCs w:val="32"/>
        </w:rPr>
        <w:t>万元，书报资料中心实现净利润</w:t>
      </w:r>
      <w:r w:rsidRPr="0077624D">
        <w:rPr>
          <w:rFonts w:ascii="仿宋" w:eastAsia="仿宋" w:hAnsi="仿宋"/>
          <w:sz w:val="32"/>
          <w:szCs w:val="32"/>
        </w:rPr>
        <w:t>59.71</w:t>
      </w:r>
      <w:r w:rsidRPr="0077624D">
        <w:rPr>
          <w:rFonts w:ascii="仿宋" w:eastAsia="仿宋" w:hAnsi="仿宋" w:hint="eastAsia"/>
          <w:sz w:val="32"/>
          <w:szCs w:val="32"/>
        </w:rPr>
        <w:t>元，合计占全校企业净利润的</w:t>
      </w:r>
      <w:r w:rsidRPr="0077624D">
        <w:rPr>
          <w:rFonts w:ascii="仿宋" w:eastAsia="仿宋" w:hAnsi="仿宋"/>
          <w:sz w:val="32"/>
          <w:szCs w:val="32"/>
        </w:rPr>
        <w:t>74.15%</w:t>
      </w:r>
      <w:r w:rsidRPr="0077624D">
        <w:rPr>
          <w:rFonts w:ascii="仿宋" w:eastAsia="仿宋" w:hAnsi="仿宋" w:hint="eastAsia"/>
          <w:sz w:val="32"/>
          <w:szCs w:val="32"/>
        </w:rPr>
        <w:t>。</w:t>
      </w:r>
    </w:p>
    <w:p w14:paraId="0E9FD842" w14:textId="77777777" w:rsidR="006F4BC7" w:rsidRDefault="006F4BC7" w:rsidP="00B0216D">
      <w:pPr>
        <w:ind w:firstLineChars="200" w:firstLine="560"/>
        <w:rPr>
          <w:rFonts w:ascii="仿宋_GB2312" w:eastAsia="仿宋_GB2312" w:hAnsi="Times New Roman"/>
          <w:sz w:val="28"/>
          <w:szCs w:val="28"/>
        </w:rPr>
      </w:pPr>
    </w:p>
    <w:p w14:paraId="25380AF5" w14:textId="77777777" w:rsidR="006F4BC7" w:rsidRDefault="006F4BC7" w:rsidP="00763857">
      <w:pPr>
        <w:ind w:firstLineChars="196" w:firstLine="627"/>
        <w:rPr>
          <w:rFonts w:ascii="仿宋_GB2312" w:eastAsia="仿宋_GB2312" w:hAnsi="宋体"/>
          <w:b/>
          <w:sz w:val="28"/>
          <w:szCs w:val="28"/>
        </w:rPr>
      </w:pPr>
      <w:r w:rsidRPr="00763857">
        <w:rPr>
          <w:rFonts w:ascii="黑体" w:eastAsia="黑体" w:hAnsi="黑体" w:hint="eastAsia"/>
          <w:bCs/>
          <w:sz w:val="32"/>
          <w:szCs w:val="32"/>
        </w:rPr>
        <w:t>四、重大事项说明</w:t>
      </w:r>
    </w:p>
    <w:p w14:paraId="72092E92" w14:textId="77777777" w:rsidR="006F4BC7" w:rsidRPr="0077624D" w:rsidRDefault="006F4BC7" w:rsidP="0077624D">
      <w:pPr>
        <w:spacing w:line="560" w:lineRule="exact"/>
        <w:ind w:firstLineChars="200" w:firstLine="643"/>
        <w:rPr>
          <w:rFonts w:ascii="楷体" w:eastAsia="楷体" w:hAnsi="楷体"/>
          <w:b/>
          <w:sz w:val="32"/>
          <w:szCs w:val="32"/>
        </w:rPr>
      </w:pPr>
      <w:r w:rsidRPr="0077624D">
        <w:rPr>
          <w:rFonts w:ascii="楷体" w:eastAsia="楷体" w:hAnsi="楷体" w:hint="eastAsia"/>
          <w:b/>
          <w:sz w:val="32"/>
          <w:szCs w:val="32"/>
        </w:rPr>
        <w:t>（一）资产公司报表调整事项说明</w:t>
      </w:r>
    </w:p>
    <w:p w14:paraId="654C8183" w14:textId="77777777" w:rsidR="006F4BC7" w:rsidRPr="0077624D" w:rsidRDefault="006F4BC7" w:rsidP="0077624D">
      <w:pPr>
        <w:spacing w:line="560" w:lineRule="exact"/>
        <w:ind w:firstLine="645"/>
        <w:rPr>
          <w:rFonts w:ascii="仿宋" w:eastAsia="仿宋" w:hAnsi="仿宋"/>
          <w:sz w:val="32"/>
          <w:szCs w:val="32"/>
        </w:rPr>
      </w:pPr>
      <w:r w:rsidRPr="0077624D">
        <w:rPr>
          <w:rFonts w:ascii="仿宋" w:eastAsia="仿宋" w:hAnsi="仿宋" w:hint="eastAsia"/>
          <w:sz w:val="32"/>
          <w:szCs w:val="32"/>
        </w:rPr>
        <w:t>资产公司因报表调整事项，对</w:t>
      </w:r>
      <w:r w:rsidRPr="0077624D">
        <w:rPr>
          <w:rFonts w:ascii="仿宋" w:eastAsia="仿宋" w:hAnsi="仿宋"/>
          <w:sz w:val="32"/>
          <w:szCs w:val="32"/>
        </w:rPr>
        <w:t>2019</w:t>
      </w:r>
      <w:r w:rsidRPr="0077624D">
        <w:rPr>
          <w:rFonts w:ascii="仿宋" w:eastAsia="仿宋" w:hAnsi="仿宋" w:hint="eastAsia"/>
          <w:sz w:val="32"/>
          <w:szCs w:val="32"/>
        </w:rPr>
        <w:t>年财务报表的期初数</w:t>
      </w:r>
      <w:proofErr w:type="gramStart"/>
      <w:r w:rsidRPr="0077624D">
        <w:rPr>
          <w:rFonts w:ascii="仿宋" w:eastAsia="仿宋" w:hAnsi="仿宋" w:hint="eastAsia"/>
          <w:sz w:val="32"/>
          <w:szCs w:val="32"/>
        </w:rPr>
        <w:t>及上年</w:t>
      </w:r>
      <w:proofErr w:type="gramEnd"/>
      <w:r w:rsidRPr="0077624D">
        <w:rPr>
          <w:rFonts w:ascii="仿宋" w:eastAsia="仿宋" w:hAnsi="仿宋" w:hint="eastAsia"/>
          <w:sz w:val="32"/>
          <w:szCs w:val="32"/>
        </w:rPr>
        <w:t>数进行如下调整：</w:t>
      </w:r>
    </w:p>
    <w:p w14:paraId="43115CC6" w14:textId="77777777" w:rsidR="006F4BC7" w:rsidRPr="0077624D" w:rsidRDefault="006F4BC7" w:rsidP="0077624D">
      <w:pPr>
        <w:spacing w:line="560" w:lineRule="exact"/>
        <w:ind w:firstLine="645"/>
        <w:rPr>
          <w:rFonts w:ascii="仿宋" w:eastAsia="仿宋" w:hAnsi="仿宋"/>
          <w:sz w:val="32"/>
          <w:szCs w:val="32"/>
        </w:rPr>
      </w:pPr>
      <w:r w:rsidRPr="0077624D">
        <w:rPr>
          <w:rFonts w:ascii="仿宋" w:eastAsia="仿宋" w:hAnsi="仿宋" w:hint="eastAsia"/>
          <w:sz w:val="32"/>
          <w:szCs w:val="32"/>
        </w:rPr>
        <w:t>期初数调整：资产总额减少</w:t>
      </w:r>
      <w:r w:rsidRPr="0077624D">
        <w:rPr>
          <w:rFonts w:ascii="仿宋" w:eastAsia="仿宋" w:hAnsi="仿宋"/>
          <w:sz w:val="32"/>
          <w:szCs w:val="32"/>
        </w:rPr>
        <w:t>26.61</w:t>
      </w:r>
      <w:r w:rsidRPr="0077624D">
        <w:rPr>
          <w:rFonts w:ascii="仿宋" w:eastAsia="仿宋" w:hAnsi="仿宋" w:hint="eastAsia"/>
          <w:sz w:val="32"/>
          <w:szCs w:val="32"/>
        </w:rPr>
        <w:t>万元，负债总额增加</w:t>
      </w:r>
      <w:r w:rsidRPr="0077624D">
        <w:rPr>
          <w:rFonts w:ascii="仿宋" w:eastAsia="仿宋" w:hAnsi="仿宋"/>
          <w:sz w:val="32"/>
          <w:szCs w:val="32"/>
        </w:rPr>
        <w:t>427.23</w:t>
      </w:r>
      <w:r w:rsidRPr="0077624D">
        <w:rPr>
          <w:rFonts w:ascii="仿宋" w:eastAsia="仿宋" w:hAnsi="仿宋" w:hint="eastAsia"/>
          <w:sz w:val="32"/>
          <w:szCs w:val="32"/>
        </w:rPr>
        <w:t>万元，盈余公积减少</w:t>
      </w:r>
      <w:r w:rsidRPr="0077624D">
        <w:rPr>
          <w:rFonts w:ascii="仿宋" w:eastAsia="仿宋" w:hAnsi="仿宋"/>
          <w:sz w:val="32"/>
          <w:szCs w:val="32"/>
        </w:rPr>
        <w:t>3.51</w:t>
      </w:r>
      <w:r w:rsidRPr="0077624D">
        <w:rPr>
          <w:rFonts w:ascii="仿宋" w:eastAsia="仿宋" w:hAnsi="仿宋" w:hint="eastAsia"/>
          <w:sz w:val="32"/>
          <w:szCs w:val="32"/>
        </w:rPr>
        <w:t>万元，未分配利润减少</w:t>
      </w:r>
      <w:r w:rsidRPr="0077624D">
        <w:rPr>
          <w:rFonts w:ascii="仿宋" w:eastAsia="仿宋" w:hAnsi="仿宋"/>
          <w:sz w:val="32"/>
          <w:szCs w:val="32"/>
        </w:rPr>
        <w:t>450.33</w:t>
      </w:r>
      <w:r w:rsidRPr="0077624D">
        <w:rPr>
          <w:rFonts w:ascii="仿宋" w:eastAsia="仿宋" w:hAnsi="仿宋" w:hint="eastAsia"/>
          <w:sz w:val="32"/>
          <w:szCs w:val="32"/>
        </w:rPr>
        <w:lastRenderedPageBreak/>
        <w:t>万元、归属于母公司所有者权益减少</w:t>
      </w:r>
      <w:r w:rsidRPr="0077624D">
        <w:rPr>
          <w:rFonts w:ascii="仿宋" w:eastAsia="仿宋" w:hAnsi="仿宋"/>
          <w:sz w:val="32"/>
          <w:szCs w:val="32"/>
        </w:rPr>
        <w:t>453.84</w:t>
      </w:r>
      <w:r w:rsidRPr="0077624D">
        <w:rPr>
          <w:rFonts w:ascii="仿宋" w:eastAsia="仿宋" w:hAnsi="仿宋" w:hint="eastAsia"/>
          <w:sz w:val="32"/>
          <w:szCs w:val="32"/>
        </w:rPr>
        <w:t>万元、所有者权益减少</w:t>
      </w:r>
      <w:r w:rsidRPr="0077624D">
        <w:rPr>
          <w:rFonts w:ascii="仿宋" w:eastAsia="仿宋" w:hAnsi="仿宋"/>
          <w:sz w:val="32"/>
          <w:szCs w:val="32"/>
        </w:rPr>
        <w:t>453.84</w:t>
      </w:r>
      <w:r w:rsidRPr="0077624D">
        <w:rPr>
          <w:rFonts w:ascii="仿宋" w:eastAsia="仿宋" w:hAnsi="仿宋" w:hint="eastAsia"/>
          <w:sz w:val="32"/>
          <w:szCs w:val="32"/>
        </w:rPr>
        <w:t>万元。</w:t>
      </w:r>
    </w:p>
    <w:p w14:paraId="0C20FE23" w14:textId="77777777" w:rsidR="006F4BC7" w:rsidRPr="0077624D" w:rsidRDefault="006F4BC7" w:rsidP="0077624D">
      <w:pPr>
        <w:spacing w:line="560" w:lineRule="exact"/>
        <w:ind w:firstLine="645"/>
        <w:rPr>
          <w:rFonts w:ascii="仿宋" w:eastAsia="仿宋" w:hAnsi="仿宋"/>
          <w:sz w:val="32"/>
          <w:szCs w:val="32"/>
        </w:rPr>
      </w:pPr>
      <w:r w:rsidRPr="0077624D">
        <w:rPr>
          <w:rFonts w:ascii="仿宋" w:eastAsia="仿宋" w:hAnsi="仿宋" w:hint="eastAsia"/>
          <w:sz w:val="32"/>
          <w:szCs w:val="32"/>
        </w:rPr>
        <w:t>上年数调整：营业成本减少</w:t>
      </w:r>
      <w:r w:rsidRPr="0077624D">
        <w:rPr>
          <w:rFonts w:ascii="仿宋" w:eastAsia="仿宋" w:hAnsi="仿宋"/>
          <w:sz w:val="32"/>
          <w:szCs w:val="32"/>
        </w:rPr>
        <w:t>729.40</w:t>
      </w:r>
      <w:r w:rsidRPr="0077624D">
        <w:rPr>
          <w:rFonts w:ascii="仿宋" w:eastAsia="仿宋" w:hAnsi="仿宋" w:hint="eastAsia"/>
          <w:sz w:val="32"/>
          <w:szCs w:val="32"/>
        </w:rPr>
        <w:t>万元，销售费用增加</w:t>
      </w:r>
      <w:r w:rsidRPr="0077624D">
        <w:rPr>
          <w:rFonts w:ascii="仿宋" w:eastAsia="仿宋" w:hAnsi="仿宋"/>
          <w:sz w:val="32"/>
          <w:szCs w:val="32"/>
        </w:rPr>
        <w:t>2.14</w:t>
      </w:r>
      <w:r w:rsidRPr="0077624D">
        <w:rPr>
          <w:rFonts w:ascii="仿宋" w:eastAsia="仿宋" w:hAnsi="仿宋" w:hint="eastAsia"/>
          <w:sz w:val="32"/>
          <w:szCs w:val="32"/>
        </w:rPr>
        <w:t>万元，管理费用增加</w:t>
      </w:r>
      <w:r w:rsidRPr="0077624D">
        <w:rPr>
          <w:rFonts w:ascii="仿宋" w:eastAsia="仿宋" w:hAnsi="仿宋"/>
          <w:sz w:val="32"/>
          <w:szCs w:val="32"/>
        </w:rPr>
        <w:t>799.64</w:t>
      </w:r>
      <w:r w:rsidRPr="0077624D">
        <w:rPr>
          <w:rFonts w:ascii="仿宋" w:eastAsia="仿宋" w:hAnsi="仿宋" w:hint="eastAsia"/>
          <w:sz w:val="32"/>
          <w:szCs w:val="32"/>
        </w:rPr>
        <w:t>万元，投资收益减少</w:t>
      </w:r>
      <w:r w:rsidRPr="0077624D">
        <w:rPr>
          <w:rFonts w:ascii="仿宋" w:eastAsia="仿宋" w:hAnsi="仿宋"/>
          <w:sz w:val="32"/>
          <w:szCs w:val="32"/>
        </w:rPr>
        <w:t>26.61</w:t>
      </w:r>
      <w:r w:rsidRPr="0077624D">
        <w:rPr>
          <w:rFonts w:ascii="仿宋" w:eastAsia="仿宋" w:hAnsi="仿宋" w:hint="eastAsia"/>
          <w:sz w:val="32"/>
          <w:szCs w:val="32"/>
        </w:rPr>
        <w:t>万元，利润总额减少</w:t>
      </w:r>
      <w:r w:rsidRPr="0077624D">
        <w:rPr>
          <w:rFonts w:ascii="仿宋" w:eastAsia="仿宋" w:hAnsi="仿宋"/>
          <w:sz w:val="32"/>
          <w:szCs w:val="32"/>
        </w:rPr>
        <w:t>98.99</w:t>
      </w:r>
      <w:r w:rsidRPr="0077624D">
        <w:rPr>
          <w:rFonts w:ascii="仿宋" w:eastAsia="仿宋" w:hAnsi="仿宋" w:hint="eastAsia"/>
          <w:sz w:val="32"/>
          <w:szCs w:val="32"/>
        </w:rPr>
        <w:t>万元，净利润减少</w:t>
      </w:r>
      <w:r w:rsidRPr="0077624D">
        <w:rPr>
          <w:rFonts w:ascii="仿宋" w:eastAsia="仿宋" w:hAnsi="仿宋"/>
          <w:sz w:val="32"/>
          <w:szCs w:val="32"/>
        </w:rPr>
        <w:t>98.99</w:t>
      </w:r>
      <w:r w:rsidRPr="0077624D">
        <w:rPr>
          <w:rFonts w:ascii="仿宋" w:eastAsia="仿宋" w:hAnsi="仿宋" w:hint="eastAsia"/>
          <w:sz w:val="32"/>
          <w:szCs w:val="32"/>
        </w:rPr>
        <w:t>万元，归属于母公司所有者的净利润减少</w:t>
      </w:r>
      <w:r w:rsidRPr="0077624D">
        <w:rPr>
          <w:rFonts w:ascii="仿宋" w:eastAsia="仿宋" w:hAnsi="仿宋"/>
          <w:sz w:val="32"/>
          <w:szCs w:val="32"/>
        </w:rPr>
        <w:t>98.99</w:t>
      </w:r>
      <w:r w:rsidRPr="0077624D">
        <w:rPr>
          <w:rFonts w:ascii="仿宋" w:eastAsia="仿宋" w:hAnsi="仿宋" w:hint="eastAsia"/>
          <w:sz w:val="32"/>
          <w:szCs w:val="32"/>
        </w:rPr>
        <w:t>万元。</w:t>
      </w:r>
    </w:p>
    <w:p w14:paraId="68C22EE6" w14:textId="77777777" w:rsidR="006F4BC7" w:rsidRPr="0077624D" w:rsidRDefault="006F4BC7" w:rsidP="0077624D">
      <w:pPr>
        <w:spacing w:line="560" w:lineRule="exact"/>
        <w:ind w:firstLine="645"/>
        <w:rPr>
          <w:rFonts w:ascii="仿宋" w:eastAsia="仿宋" w:hAnsi="仿宋"/>
          <w:sz w:val="32"/>
          <w:szCs w:val="32"/>
        </w:rPr>
      </w:pPr>
      <w:r w:rsidRPr="0077624D">
        <w:rPr>
          <w:rFonts w:ascii="仿宋" w:eastAsia="仿宋" w:hAnsi="仿宋" w:hint="eastAsia"/>
          <w:sz w:val="32"/>
          <w:szCs w:val="32"/>
        </w:rPr>
        <w:t>具体原因为：</w:t>
      </w:r>
    </w:p>
    <w:p w14:paraId="7C8E1181" w14:textId="77777777" w:rsidR="006F4BC7" w:rsidRPr="0077624D" w:rsidRDefault="006F4BC7" w:rsidP="0077624D">
      <w:pPr>
        <w:spacing w:line="560" w:lineRule="exact"/>
        <w:ind w:firstLine="645"/>
        <w:rPr>
          <w:rFonts w:ascii="仿宋" w:eastAsia="仿宋" w:hAnsi="仿宋"/>
          <w:sz w:val="32"/>
          <w:szCs w:val="32"/>
        </w:rPr>
      </w:pPr>
      <w:r w:rsidRPr="0077624D">
        <w:rPr>
          <w:rFonts w:ascii="仿宋" w:eastAsia="仿宋" w:hAnsi="仿宋"/>
          <w:sz w:val="32"/>
          <w:szCs w:val="32"/>
        </w:rPr>
        <w:t>1</w:t>
      </w:r>
      <w:r w:rsidRPr="0077624D">
        <w:rPr>
          <w:rFonts w:ascii="仿宋" w:eastAsia="仿宋" w:hAnsi="仿宋" w:hint="eastAsia"/>
          <w:sz w:val="32"/>
          <w:szCs w:val="32"/>
        </w:rPr>
        <w:t>、资产公司本部、中国人民大学出版社有限公司和北京人大文化科技园建设发展有限公司</w:t>
      </w:r>
      <w:r w:rsidRPr="0077624D">
        <w:rPr>
          <w:rFonts w:ascii="仿宋" w:eastAsia="仿宋" w:hAnsi="仿宋"/>
          <w:sz w:val="32"/>
          <w:szCs w:val="32"/>
        </w:rPr>
        <w:t>2019</w:t>
      </w:r>
      <w:r w:rsidRPr="0077624D">
        <w:rPr>
          <w:rFonts w:ascii="仿宋" w:eastAsia="仿宋" w:hAnsi="仿宋" w:hint="eastAsia"/>
          <w:sz w:val="32"/>
          <w:szCs w:val="32"/>
        </w:rPr>
        <w:t>年度因补缴</w:t>
      </w:r>
      <w:r w:rsidRPr="0077624D">
        <w:rPr>
          <w:rFonts w:ascii="仿宋" w:eastAsia="仿宋" w:hAnsi="仿宋"/>
          <w:sz w:val="32"/>
          <w:szCs w:val="32"/>
        </w:rPr>
        <w:t>2017</w:t>
      </w:r>
      <w:r w:rsidRPr="0077624D">
        <w:rPr>
          <w:rFonts w:ascii="仿宋" w:eastAsia="仿宋" w:hAnsi="仿宋" w:hint="eastAsia"/>
          <w:sz w:val="32"/>
          <w:szCs w:val="32"/>
        </w:rPr>
        <w:t>年及以前年度职业年金</w:t>
      </w:r>
      <w:r w:rsidRPr="0077624D">
        <w:rPr>
          <w:rFonts w:ascii="仿宋" w:eastAsia="仿宋" w:hAnsi="仿宋"/>
          <w:sz w:val="32"/>
          <w:szCs w:val="32"/>
        </w:rPr>
        <w:t>354.85</w:t>
      </w:r>
      <w:r w:rsidRPr="0077624D">
        <w:rPr>
          <w:rFonts w:ascii="仿宋" w:eastAsia="仿宋" w:hAnsi="仿宋" w:hint="eastAsia"/>
          <w:sz w:val="32"/>
          <w:szCs w:val="32"/>
        </w:rPr>
        <w:t>万元及补缴</w:t>
      </w:r>
      <w:r w:rsidRPr="0077624D">
        <w:rPr>
          <w:rFonts w:ascii="仿宋" w:eastAsia="仿宋" w:hAnsi="仿宋"/>
          <w:sz w:val="32"/>
          <w:szCs w:val="32"/>
        </w:rPr>
        <w:t>2018</w:t>
      </w:r>
      <w:r w:rsidRPr="0077624D">
        <w:rPr>
          <w:rFonts w:ascii="仿宋" w:eastAsia="仿宋" w:hAnsi="仿宋" w:hint="eastAsia"/>
          <w:sz w:val="32"/>
          <w:szCs w:val="32"/>
        </w:rPr>
        <w:t>年职业年金</w:t>
      </w:r>
      <w:r w:rsidRPr="0077624D">
        <w:rPr>
          <w:rFonts w:ascii="仿宋" w:eastAsia="仿宋" w:hAnsi="仿宋"/>
          <w:sz w:val="32"/>
          <w:szCs w:val="32"/>
        </w:rPr>
        <w:t>72.38</w:t>
      </w:r>
      <w:r w:rsidRPr="0077624D">
        <w:rPr>
          <w:rFonts w:ascii="仿宋" w:eastAsia="仿宋" w:hAnsi="仿宋" w:hint="eastAsia"/>
          <w:sz w:val="32"/>
          <w:szCs w:val="32"/>
        </w:rPr>
        <w:t>万元，导致调减</w:t>
      </w:r>
      <w:r w:rsidRPr="0077624D">
        <w:rPr>
          <w:rFonts w:ascii="仿宋" w:eastAsia="仿宋" w:hAnsi="仿宋"/>
          <w:sz w:val="32"/>
          <w:szCs w:val="32"/>
        </w:rPr>
        <w:t>2018</w:t>
      </w:r>
      <w:r w:rsidRPr="0077624D">
        <w:rPr>
          <w:rFonts w:ascii="仿宋" w:eastAsia="仿宋" w:hAnsi="仿宋" w:hint="eastAsia"/>
          <w:sz w:val="32"/>
          <w:szCs w:val="32"/>
        </w:rPr>
        <w:t>年期初盈余公积</w:t>
      </w:r>
      <w:r w:rsidRPr="0077624D">
        <w:rPr>
          <w:rFonts w:ascii="仿宋" w:eastAsia="仿宋" w:hAnsi="仿宋"/>
          <w:sz w:val="32"/>
          <w:szCs w:val="32"/>
        </w:rPr>
        <w:t>0.48</w:t>
      </w:r>
      <w:r w:rsidRPr="0077624D">
        <w:rPr>
          <w:rFonts w:ascii="仿宋" w:eastAsia="仿宋" w:hAnsi="仿宋" w:hint="eastAsia"/>
          <w:sz w:val="32"/>
          <w:szCs w:val="32"/>
        </w:rPr>
        <w:t>万元</w:t>
      </w:r>
      <w:r w:rsidRPr="0077624D">
        <w:rPr>
          <w:rFonts w:ascii="仿宋" w:eastAsia="仿宋" w:hAnsi="仿宋"/>
          <w:sz w:val="32"/>
          <w:szCs w:val="32"/>
        </w:rPr>
        <w:t>,</w:t>
      </w:r>
      <w:r w:rsidRPr="0077624D">
        <w:rPr>
          <w:rFonts w:ascii="仿宋" w:eastAsia="仿宋" w:hAnsi="仿宋" w:hint="eastAsia"/>
          <w:sz w:val="32"/>
          <w:szCs w:val="32"/>
        </w:rPr>
        <w:t>调减期初未分配利润</w:t>
      </w:r>
      <w:r w:rsidRPr="0077624D">
        <w:rPr>
          <w:rFonts w:ascii="仿宋" w:eastAsia="仿宋" w:hAnsi="仿宋"/>
          <w:sz w:val="32"/>
          <w:szCs w:val="32"/>
        </w:rPr>
        <w:t>354.36</w:t>
      </w:r>
      <w:r w:rsidRPr="0077624D">
        <w:rPr>
          <w:rFonts w:ascii="仿宋" w:eastAsia="仿宋" w:hAnsi="仿宋" w:hint="eastAsia"/>
          <w:sz w:val="32"/>
          <w:szCs w:val="32"/>
        </w:rPr>
        <w:t>万元，调增</w:t>
      </w:r>
      <w:r w:rsidRPr="0077624D">
        <w:rPr>
          <w:rFonts w:ascii="仿宋" w:eastAsia="仿宋" w:hAnsi="仿宋"/>
          <w:sz w:val="32"/>
          <w:szCs w:val="32"/>
        </w:rPr>
        <w:t>2018</w:t>
      </w:r>
      <w:r w:rsidRPr="0077624D">
        <w:rPr>
          <w:rFonts w:ascii="仿宋" w:eastAsia="仿宋" w:hAnsi="仿宋" w:hint="eastAsia"/>
          <w:sz w:val="32"/>
          <w:szCs w:val="32"/>
        </w:rPr>
        <w:t>年管理费用</w:t>
      </w:r>
      <w:r w:rsidRPr="0077624D">
        <w:rPr>
          <w:rFonts w:ascii="仿宋" w:eastAsia="仿宋" w:hAnsi="仿宋"/>
          <w:sz w:val="32"/>
          <w:szCs w:val="32"/>
        </w:rPr>
        <w:t>70.24</w:t>
      </w:r>
      <w:r w:rsidRPr="0077624D">
        <w:rPr>
          <w:rFonts w:ascii="仿宋" w:eastAsia="仿宋" w:hAnsi="仿宋" w:hint="eastAsia"/>
          <w:sz w:val="32"/>
          <w:szCs w:val="32"/>
        </w:rPr>
        <w:t>万元，调增销售费用</w:t>
      </w:r>
      <w:r w:rsidRPr="0077624D">
        <w:rPr>
          <w:rFonts w:ascii="仿宋" w:eastAsia="仿宋" w:hAnsi="仿宋"/>
          <w:sz w:val="32"/>
          <w:szCs w:val="32"/>
        </w:rPr>
        <w:t>2.14</w:t>
      </w:r>
      <w:r w:rsidRPr="0077624D">
        <w:rPr>
          <w:rFonts w:ascii="仿宋" w:eastAsia="仿宋" w:hAnsi="仿宋" w:hint="eastAsia"/>
          <w:sz w:val="32"/>
          <w:szCs w:val="32"/>
        </w:rPr>
        <w:t>万元，上述调整导致</w:t>
      </w:r>
      <w:r w:rsidRPr="0077624D">
        <w:rPr>
          <w:rFonts w:ascii="仿宋" w:eastAsia="仿宋" w:hAnsi="仿宋"/>
          <w:sz w:val="32"/>
          <w:szCs w:val="32"/>
        </w:rPr>
        <w:t>2019</w:t>
      </w:r>
      <w:r w:rsidRPr="0077624D">
        <w:rPr>
          <w:rFonts w:ascii="仿宋" w:eastAsia="仿宋" w:hAnsi="仿宋" w:hint="eastAsia"/>
          <w:sz w:val="32"/>
          <w:szCs w:val="32"/>
        </w:rPr>
        <w:t>年期初调整应付职工薪</w:t>
      </w:r>
      <w:proofErr w:type="gramStart"/>
      <w:r w:rsidRPr="0077624D">
        <w:rPr>
          <w:rFonts w:ascii="仿宋" w:eastAsia="仿宋" w:hAnsi="仿宋" w:hint="eastAsia"/>
          <w:sz w:val="32"/>
          <w:szCs w:val="32"/>
        </w:rPr>
        <w:t>酬</w:t>
      </w:r>
      <w:proofErr w:type="gramEnd"/>
      <w:r w:rsidRPr="0077624D">
        <w:rPr>
          <w:rFonts w:ascii="仿宋" w:eastAsia="仿宋" w:hAnsi="仿宋"/>
          <w:sz w:val="32"/>
          <w:szCs w:val="32"/>
        </w:rPr>
        <w:t>427.23</w:t>
      </w:r>
      <w:r w:rsidRPr="0077624D">
        <w:rPr>
          <w:rFonts w:ascii="仿宋" w:eastAsia="仿宋" w:hAnsi="仿宋" w:hint="eastAsia"/>
          <w:sz w:val="32"/>
          <w:szCs w:val="32"/>
        </w:rPr>
        <w:t>万元、调减盈余公积</w:t>
      </w:r>
      <w:r w:rsidRPr="0077624D">
        <w:rPr>
          <w:rFonts w:ascii="仿宋" w:eastAsia="仿宋" w:hAnsi="仿宋"/>
          <w:sz w:val="32"/>
          <w:szCs w:val="32"/>
        </w:rPr>
        <w:t>0.85</w:t>
      </w:r>
      <w:r w:rsidRPr="0077624D">
        <w:rPr>
          <w:rFonts w:ascii="仿宋" w:eastAsia="仿宋" w:hAnsi="仿宋" w:hint="eastAsia"/>
          <w:sz w:val="32"/>
          <w:szCs w:val="32"/>
        </w:rPr>
        <w:t>万元、调减未分配利润</w:t>
      </w:r>
      <w:r w:rsidRPr="0077624D">
        <w:rPr>
          <w:rFonts w:ascii="仿宋" w:eastAsia="仿宋" w:hAnsi="仿宋"/>
          <w:sz w:val="32"/>
          <w:szCs w:val="32"/>
        </w:rPr>
        <w:t>426.38</w:t>
      </w:r>
      <w:r w:rsidRPr="0077624D">
        <w:rPr>
          <w:rFonts w:ascii="仿宋" w:eastAsia="仿宋" w:hAnsi="仿宋" w:hint="eastAsia"/>
          <w:sz w:val="32"/>
          <w:szCs w:val="32"/>
        </w:rPr>
        <w:t>万元。</w:t>
      </w:r>
    </w:p>
    <w:p w14:paraId="71428DE7" w14:textId="77777777" w:rsidR="006F4BC7" w:rsidRPr="0077624D" w:rsidRDefault="006F4BC7" w:rsidP="0077624D">
      <w:pPr>
        <w:spacing w:line="560" w:lineRule="exact"/>
        <w:ind w:firstLine="645"/>
        <w:rPr>
          <w:rFonts w:ascii="仿宋" w:eastAsia="仿宋" w:hAnsi="仿宋"/>
          <w:sz w:val="32"/>
          <w:szCs w:val="32"/>
        </w:rPr>
      </w:pPr>
      <w:r w:rsidRPr="0077624D">
        <w:rPr>
          <w:rFonts w:ascii="仿宋" w:eastAsia="仿宋" w:hAnsi="仿宋"/>
          <w:sz w:val="32"/>
          <w:szCs w:val="32"/>
        </w:rPr>
        <w:t>2</w:t>
      </w:r>
      <w:r w:rsidRPr="0077624D">
        <w:rPr>
          <w:rFonts w:ascii="仿宋" w:eastAsia="仿宋" w:hAnsi="仿宋" w:hint="eastAsia"/>
          <w:sz w:val="32"/>
          <w:szCs w:val="32"/>
        </w:rPr>
        <w:t>、资产公司下属中国人民大学出版社有限公司因更正与子公司北京人大数字科技有限公司</w:t>
      </w:r>
      <w:r w:rsidRPr="0077624D">
        <w:rPr>
          <w:rFonts w:ascii="仿宋" w:eastAsia="仿宋" w:hAnsi="仿宋"/>
          <w:sz w:val="32"/>
          <w:szCs w:val="32"/>
        </w:rPr>
        <w:t>2018</w:t>
      </w:r>
      <w:r w:rsidRPr="0077624D">
        <w:rPr>
          <w:rFonts w:ascii="仿宋" w:eastAsia="仿宋" w:hAnsi="仿宋" w:hint="eastAsia"/>
          <w:sz w:val="32"/>
          <w:szCs w:val="32"/>
        </w:rPr>
        <w:t>年度关联交易抵消分录错误，调减</w:t>
      </w:r>
      <w:r w:rsidRPr="0077624D">
        <w:rPr>
          <w:rFonts w:ascii="仿宋" w:eastAsia="仿宋" w:hAnsi="仿宋"/>
          <w:sz w:val="32"/>
          <w:szCs w:val="32"/>
        </w:rPr>
        <w:t>2018</w:t>
      </w:r>
      <w:r w:rsidRPr="0077624D">
        <w:rPr>
          <w:rFonts w:ascii="仿宋" w:eastAsia="仿宋" w:hAnsi="仿宋" w:hint="eastAsia"/>
          <w:sz w:val="32"/>
          <w:szCs w:val="32"/>
        </w:rPr>
        <w:t>年其他业务成本</w:t>
      </w:r>
      <w:r w:rsidRPr="0077624D">
        <w:rPr>
          <w:rFonts w:ascii="仿宋" w:eastAsia="仿宋" w:hAnsi="仿宋"/>
          <w:sz w:val="32"/>
          <w:szCs w:val="32"/>
        </w:rPr>
        <w:t>729.40</w:t>
      </w:r>
      <w:r w:rsidRPr="0077624D">
        <w:rPr>
          <w:rFonts w:ascii="仿宋" w:eastAsia="仿宋" w:hAnsi="仿宋" w:hint="eastAsia"/>
          <w:sz w:val="32"/>
          <w:szCs w:val="32"/>
        </w:rPr>
        <w:t>万元，调增</w:t>
      </w:r>
      <w:r w:rsidRPr="0077624D">
        <w:rPr>
          <w:rFonts w:ascii="仿宋" w:eastAsia="仿宋" w:hAnsi="仿宋"/>
          <w:sz w:val="32"/>
          <w:szCs w:val="32"/>
        </w:rPr>
        <w:t>2018</w:t>
      </w:r>
      <w:r w:rsidRPr="0077624D">
        <w:rPr>
          <w:rFonts w:ascii="仿宋" w:eastAsia="仿宋" w:hAnsi="仿宋" w:hint="eastAsia"/>
          <w:sz w:val="32"/>
          <w:szCs w:val="32"/>
        </w:rPr>
        <w:t>年管理费用</w:t>
      </w:r>
      <w:r w:rsidRPr="0077624D">
        <w:rPr>
          <w:rFonts w:ascii="仿宋" w:eastAsia="仿宋" w:hAnsi="仿宋"/>
          <w:sz w:val="32"/>
          <w:szCs w:val="32"/>
        </w:rPr>
        <w:t>729.40</w:t>
      </w:r>
      <w:r w:rsidRPr="0077624D">
        <w:rPr>
          <w:rFonts w:ascii="仿宋" w:eastAsia="仿宋" w:hAnsi="仿宋" w:hint="eastAsia"/>
          <w:sz w:val="32"/>
          <w:szCs w:val="32"/>
        </w:rPr>
        <w:t>万元。</w:t>
      </w:r>
    </w:p>
    <w:p w14:paraId="214AC37E" w14:textId="77777777" w:rsidR="006F4BC7" w:rsidRPr="0077624D" w:rsidRDefault="006F4BC7" w:rsidP="0077624D">
      <w:pPr>
        <w:spacing w:line="560" w:lineRule="exact"/>
        <w:ind w:firstLine="645"/>
        <w:rPr>
          <w:rFonts w:ascii="仿宋" w:eastAsia="仿宋" w:hAnsi="仿宋"/>
          <w:sz w:val="32"/>
          <w:szCs w:val="32"/>
        </w:rPr>
      </w:pPr>
      <w:r w:rsidRPr="0077624D">
        <w:rPr>
          <w:rFonts w:ascii="仿宋" w:eastAsia="仿宋" w:hAnsi="仿宋"/>
          <w:sz w:val="32"/>
          <w:szCs w:val="32"/>
        </w:rPr>
        <w:t>3</w:t>
      </w:r>
      <w:r w:rsidRPr="0077624D">
        <w:rPr>
          <w:rFonts w:ascii="仿宋" w:eastAsia="仿宋" w:hAnsi="仿宋" w:hint="eastAsia"/>
          <w:sz w:val="32"/>
          <w:szCs w:val="32"/>
        </w:rPr>
        <w:t>、资产公司投资的东方兴业网络教育服务有限责任公司于</w:t>
      </w:r>
      <w:r w:rsidRPr="0077624D">
        <w:rPr>
          <w:rFonts w:ascii="仿宋" w:eastAsia="仿宋" w:hAnsi="仿宋"/>
          <w:sz w:val="32"/>
          <w:szCs w:val="32"/>
        </w:rPr>
        <w:t>2019</w:t>
      </w:r>
      <w:r w:rsidRPr="0077624D">
        <w:rPr>
          <w:rFonts w:ascii="仿宋" w:eastAsia="仿宋" w:hAnsi="仿宋" w:hint="eastAsia"/>
          <w:sz w:val="32"/>
          <w:szCs w:val="32"/>
        </w:rPr>
        <w:t>年补提</w:t>
      </w:r>
      <w:r w:rsidRPr="0077624D">
        <w:rPr>
          <w:rFonts w:ascii="仿宋" w:eastAsia="仿宋" w:hAnsi="仿宋"/>
          <w:sz w:val="32"/>
          <w:szCs w:val="32"/>
        </w:rPr>
        <w:t>2018</w:t>
      </w:r>
      <w:r w:rsidRPr="0077624D">
        <w:rPr>
          <w:rFonts w:ascii="仿宋" w:eastAsia="仿宋" w:hAnsi="仿宋" w:hint="eastAsia"/>
          <w:sz w:val="32"/>
          <w:szCs w:val="32"/>
        </w:rPr>
        <w:t>年度坏账准备，调减期初未分配利润</w:t>
      </w:r>
      <w:r w:rsidRPr="0077624D">
        <w:rPr>
          <w:rFonts w:ascii="仿宋" w:eastAsia="仿宋" w:hAnsi="仿宋"/>
          <w:sz w:val="32"/>
          <w:szCs w:val="32"/>
        </w:rPr>
        <w:t>88.69</w:t>
      </w:r>
      <w:r w:rsidRPr="0077624D">
        <w:rPr>
          <w:rFonts w:ascii="仿宋" w:eastAsia="仿宋" w:hAnsi="仿宋" w:hint="eastAsia"/>
          <w:sz w:val="32"/>
          <w:szCs w:val="32"/>
        </w:rPr>
        <w:t>万元，资产公司按所持</w:t>
      </w:r>
      <w:r w:rsidRPr="0077624D">
        <w:rPr>
          <w:rFonts w:ascii="仿宋" w:eastAsia="仿宋" w:hAnsi="仿宋"/>
          <w:sz w:val="32"/>
          <w:szCs w:val="32"/>
        </w:rPr>
        <w:t>30%</w:t>
      </w:r>
      <w:r w:rsidRPr="0077624D">
        <w:rPr>
          <w:rFonts w:ascii="仿宋" w:eastAsia="仿宋" w:hAnsi="仿宋" w:hint="eastAsia"/>
          <w:sz w:val="32"/>
          <w:szCs w:val="32"/>
        </w:rPr>
        <w:t>股权比例，相应调减</w:t>
      </w:r>
      <w:r w:rsidRPr="0077624D">
        <w:rPr>
          <w:rFonts w:ascii="仿宋" w:eastAsia="仿宋" w:hAnsi="仿宋"/>
          <w:sz w:val="32"/>
          <w:szCs w:val="32"/>
        </w:rPr>
        <w:t>2018</w:t>
      </w:r>
      <w:r w:rsidRPr="0077624D">
        <w:rPr>
          <w:rFonts w:ascii="仿宋" w:eastAsia="仿宋" w:hAnsi="仿宋" w:hint="eastAsia"/>
          <w:sz w:val="32"/>
          <w:szCs w:val="32"/>
        </w:rPr>
        <w:t>年度长期股权投资</w:t>
      </w:r>
      <w:r w:rsidRPr="0077624D">
        <w:rPr>
          <w:rFonts w:ascii="仿宋" w:eastAsia="仿宋" w:hAnsi="仿宋"/>
          <w:sz w:val="32"/>
          <w:szCs w:val="32"/>
        </w:rPr>
        <w:t>26.61</w:t>
      </w:r>
      <w:r w:rsidRPr="0077624D">
        <w:rPr>
          <w:rFonts w:ascii="仿宋" w:eastAsia="仿宋" w:hAnsi="仿宋" w:hint="eastAsia"/>
          <w:sz w:val="32"/>
          <w:szCs w:val="32"/>
        </w:rPr>
        <w:t>万元，调减</w:t>
      </w:r>
      <w:r w:rsidRPr="0077624D">
        <w:rPr>
          <w:rFonts w:ascii="仿宋" w:eastAsia="仿宋" w:hAnsi="仿宋"/>
          <w:sz w:val="32"/>
          <w:szCs w:val="32"/>
        </w:rPr>
        <w:t>2018</w:t>
      </w:r>
      <w:r w:rsidRPr="0077624D">
        <w:rPr>
          <w:rFonts w:ascii="仿宋" w:eastAsia="仿宋" w:hAnsi="仿宋" w:hint="eastAsia"/>
          <w:sz w:val="32"/>
          <w:szCs w:val="32"/>
        </w:rPr>
        <w:t>年度投资收益</w:t>
      </w:r>
      <w:r w:rsidRPr="0077624D">
        <w:rPr>
          <w:rFonts w:ascii="仿宋" w:eastAsia="仿宋" w:hAnsi="仿宋"/>
          <w:sz w:val="32"/>
          <w:szCs w:val="32"/>
        </w:rPr>
        <w:t>26.61</w:t>
      </w:r>
      <w:r w:rsidRPr="0077624D">
        <w:rPr>
          <w:rFonts w:ascii="仿宋" w:eastAsia="仿宋" w:hAnsi="仿宋" w:hint="eastAsia"/>
          <w:sz w:val="32"/>
          <w:szCs w:val="32"/>
        </w:rPr>
        <w:t>万元；调减</w:t>
      </w:r>
      <w:r w:rsidRPr="0077624D">
        <w:rPr>
          <w:rFonts w:ascii="仿宋" w:eastAsia="仿宋" w:hAnsi="仿宋"/>
          <w:sz w:val="32"/>
          <w:szCs w:val="32"/>
        </w:rPr>
        <w:t>2019</w:t>
      </w:r>
      <w:r w:rsidRPr="0077624D">
        <w:rPr>
          <w:rFonts w:ascii="仿宋" w:eastAsia="仿宋" w:hAnsi="仿宋" w:hint="eastAsia"/>
          <w:sz w:val="32"/>
          <w:szCs w:val="32"/>
        </w:rPr>
        <w:t>年度期初未分配利润</w:t>
      </w:r>
      <w:r w:rsidRPr="0077624D">
        <w:rPr>
          <w:rFonts w:ascii="仿宋" w:eastAsia="仿宋" w:hAnsi="仿宋"/>
          <w:sz w:val="32"/>
          <w:szCs w:val="32"/>
        </w:rPr>
        <w:t>23.95</w:t>
      </w:r>
      <w:r w:rsidRPr="0077624D">
        <w:rPr>
          <w:rFonts w:ascii="仿宋" w:eastAsia="仿宋" w:hAnsi="仿宋" w:hint="eastAsia"/>
          <w:sz w:val="32"/>
          <w:szCs w:val="32"/>
        </w:rPr>
        <w:t>万元，调减</w:t>
      </w:r>
      <w:r w:rsidRPr="0077624D">
        <w:rPr>
          <w:rFonts w:ascii="仿宋" w:eastAsia="仿宋" w:hAnsi="仿宋"/>
          <w:sz w:val="32"/>
          <w:szCs w:val="32"/>
        </w:rPr>
        <w:t>2019</w:t>
      </w:r>
      <w:r w:rsidRPr="0077624D">
        <w:rPr>
          <w:rFonts w:ascii="仿宋" w:eastAsia="仿宋" w:hAnsi="仿宋" w:hint="eastAsia"/>
          <w:sz w:val="32"/>
          <w:szCs w:val="32"/>
        </w:rPr>
        <w:t>年期初盈余公积</w:t>
      </w:r>
      <w:r w:rsidRPr="0077624D">
        <w:rPr>
          <w:rFonts w:ascii="仿宋" w:eastAsia="仿宋" w:hAnsi="仿宋"/>
          <w:sz w:val="32"/>
          <w:szCs w:val="32"/>
        </w:rPr>
        <w:t>2.66</w:t>
      </w:r>
      <w:r w:rsidRPr="0077624D">
        <w:rPr>
          <w:rFonts w:ascii="仿宋" w:eastAsia="仿宋" w:hAnsi="仿宋" w:hint="eastAsia"/>
          <w:sz w:val="32"/>
          <w:szCs w:val="32"/>
        </w:rPr>
        <w:t>万元。</w:t>
      </w:r>
    </w:p>
    <w:p w14:paraId="4C3A73E4" w14:textId="77777777" w:rsidR="006F4BC7" w:rsidRPr="0077624D" w:rsidRDefault="006F4BC7" w:rsidP="0077624D">
      <w:pPr>
        <w:spacing w:line="560" w:lineRule="exact"/>
        <w:ind w:firstLineChars="200" w:firstLine="643"/>
        <w:rPr>
          <w:rFonts w:ascii="楷体" w:eastAsia="楷体" w:hAnsi="楷体"/>
          <w:b/>
          <w:sz w:val="32"/>
          <w:szCs w:val="32"/>
        </w:rPr>
      </w:pPr>
      <w:r w:rsidRPr="0077624D">
        <w:rPr>
          <w:rFonts w:ascii="楷体" w:eastAsia="楷体" w:hAnsi="楷体" w:hint="eastAsia"/>
          <w:b/>
          <w:sz w:val="32"/>
          <w:szCs w:val="32"/>
        </w:rPr>
        <w:t>（二）资产公司上期所有者权益变动涉及“其他”事项说</w:t>
      </w:r>
      <w:r w:rsidRPr="0077624D">
        <w:rPr>
          <w:rFonts w:ascii="楷体" w:eastAsia="楷体" w:hAnsi="楷体" w:hint="eastAsia"/>
          <w:b/>
          <w:sz w:val="32"/>
          <w:szCs w:val="32"/>
        </w:rPr>
        <w:lastRenderedPageBreak/>
        <w:t>明</w:t>
      </w:r>
    </w:p>
    <w:p w14:paraId="797CD7BA" w14:textId="77777777" w:rsidR="006F4BC7" w:rsidRPr="0077624D" w:rsidRDefault="006F4BC7" w:rsidP="0077624D">
      <w:pPr>
        <w:spacing w:line="560" w:lineRule="exact"/>
        <w:ind w:firstLine="645"/>
        <w:rPr>
          <w:rFonts w:ascii="仿宋" w:eastAsia="仿宋" w:hAnsi="仿宋"/>
          <w:sz w:val="32"/>
          <w:szCs w:val="32"/>
        </w:rPr>
      </w:pPr>
      <w:r w:rsidRPr="0077624D">
        <w:rPr>
          <w:rFonts w:ascii="仿宋" w:eastAsia="仿宋" w:hAnsi="仿宋" w:hint="eastAsia"/>
          <w:sz w:val="32"/>
          <w:szCs w:val="32"/>
        </w:rPr>
        <w:t>在资产公司差额表中，所有者权益变动表的上年金额“本年增减变动金额”项下的“利润分配</w:t>
      </w:r>
      <w:r w:rsidRPr="0077624D">
        <w:rPr>
          <w:rFonts w:ascii="仿宋" w:eastAsia="仿宋" w:hAnsi="仿宋"/>
          <w:sz w:val="32"/>
          <w:szCs w:val="32"/>
        </w:rPr>
        <w:t>-</w:t>
      </w:r>
      <w:r w:rsidRPr="0077624D">
        <w:rPr>
          <w:rFonts w:ascii="仿宋" w:eastAsia="仿宋" w:hAnsi="仿宋" w:hint="eastAsia"/>
          <w:sz w:val="32"/>
          <w:szCs w:val="32"/>
        </w:rPr>
        <w:t>其他（第</w:t>
      </w:r>
      <w:r w:rsidRPr="0077624D">
        <w:rPr>
          <w:rFonts w:ascii="仿宋" w:eastAsia="仿宋" w:hAnsi="仿宋"/>
          <w:sz w:val="32"/>
          <w:szCs w:val="32"/>
        </w:rPr>
        <w:t>25</w:t>
      </w:r>
      <w:r w:rsidRPr="0077624D">
        <w:rPr>
          <w:rFonts w:ascii="仿宋" w:eastAsia="仿宋" w:hAnsi="仿宋" w:hint="eastAsia"/>
          <w:sz w:val="32"/>
          <w:szCs w:val="32"/>
        </w:rPr>
        <w:t>行）”发生变动，原因为：根据学校决定，北京人大文化科技园建设发展有限公司将持有的人大数</w:t>
      </w:r>
      <w:proofErr w:type="gramStart"/>
      <w:r w:rsidRPr="0077624D">
        <w:rPr>
          <w:rFonts w:ascii="仿宋" w:eastAsia="仿宋" w:hAnsi="仿宋" w:hint="eastAsia"/>
          <w:sz w:val="32"/>
          <w:szCs w:val="32"/>
        </w:rPr>
        <w:t>媒</w:t>
      </w:r>
      <w:proofErr w:type="gramEnd"/>
      <w:r w:rsidRPr="0077624D">
        <w:rPr>
          <w:rFonts w:ascii="仿宋" w:eastAsia="仿宋" w:hAnsi="仿宋" w:hint="eastAsia"/>
          <w:sz w:val="32"/>
          <w:szCs w:val="32"/>
        </w:rPr>
        <w:t>科技（北京）有限公司的股权</w:t>
      </w:r>
      <w:r w:rsidRPr="0077624D">
        <w:rPr>
          <w:rFonts w:ascii="仿宋" w:eastAsia="仿宋" w:hAnsi="仿宋"/>
          <w:sz w:val="32"/>
          <w:szCs w:val="32"/>
        </w:rPr>
        <w:t>200</w:t>
      </w:r>
      <w:r w:rsidRPr="0077624D">
        <w:rPr>
          <w:rFonts w:ascii="仿宋" w:eastAsia="仿宋" w:hAnsi="仿宋" w:hint="eastAsia"/>
          <w:sz w:val="32"/>
          <w:szCs w:val="32"/>
        </w:rPr>
        <w:t>万元无偿划转至资产公司，减少盈余公积</w:t>
      </w:r>
      <w:r w:rsidRPr="0077624D">
        <w:rPr>
          <w:rFonts w:ascii="仿宋" w:eastAsia="仿宋" w:hAnsi="仿宋"/>
          <w:sz w:val="32"/>
          <w:szCs w:val="32"/>
        </w:rPr>
        <w:t>20</w:t>
      </w:r>
      <w:r w:rsidRPr="0077624D">
        <w:rPr>
          <w:rFonts w:ascii="仿宋" w:eastAsia="仿宋" w:hAnsi="仿宋" w:hint="eastAsia"/>
          <w:sz w:val="32"/>
          <w:szCs w:val="32"/>
        </w:rPr>
        <w:t>万元，减少未分配利润</w:t>
      </w:r>
      <w:r w:rsidRPr="0077624D">
        <w:rPr>
          <w:rFonts w:ascii="仿宋" w:eastAsia="仿宋" w:hAnsi="仿宋"/>
          <w:sz w:val="32"/>
          <w:szCs w:val="32"/>
        </w:rPr>
        <w:t>180</w:t>
      </w:r>
      <w:r w:rsidRPr="0077624D">
        <w:rPr>
          <w:rFonts w:ascii="仿宋" w:eastAsia="仿宋" w:hAnsi="仿宋" w:hint="eastAsia"/>
          <w:sz w:val="32"/>
          <w:szCs w:val="32"/>
        </w:rPr>
        <w:t>万元（在资产公司差额表中抵消）。</w:t>
      </w:r>
    </w:p>
    <w:p w14:paraId="456CFBF9" w14:textId="77777777" w:rsidR="006F4BC7" w:rsidRPr="0077624D" w:rsidRDefault="006F4BC7" w:rsidP="0077624D">
      <w:pPr>
        <w:spacing w:line="560" w:lineRule="exact"/>
        <w:ind w:firstLineChars="200" w:firstLine="643"/>
        <w:rPr>
          <w:rFonts w:ascii="楷体" w:eastAsia="楷体" w:hAnsi="楷体"/>
          <w:b/>
          <w:sz w:val="32"/>
          <w:szCs w:val="32"/>
        </w:rPr>
      </w:pPr>
      <w:r w:rsidRPr="0077624D">
        <w:rPr>
          <w:rFonts w:ascii="楷体" w:eastAsia="楷体" w:hAnsi="楷体" w:hint="eastAsia"/>
          <w:b/>
          <w:sz w:val="32"/>
          <w:szCs w:val="32"/>
        </w:rPr>
        <w:t>（三）资产公司利润分配</w:t>
      </w:r>
    </w:p>
    <w:p w14:paraId="010B4D9D" w14:textId="77777777" w:rsidR="006F4BC7" w:rsidRPr="0077624D" w:rsidRDefault="006F4BC7" w:rsidP="0077624D">
      <w:pPr>
        <w:spacing w:line="560" w:lineRule="exact"/>
        <w:ind w:firstLine="645"/>
        <w:rPr>
          <w:rFonts w:ascii="仿宋" w:eastAsia="仿宋" w:hAnsi="仿宋"/>
          <w:sz w:val="32"/>
          <w:szCs w:val="32"/>
        </w:rPr>
      </w:pPr>
      <w:r w:rsidRPr="0077624D">
        <w:rPr>
          <w:rFonts w:ascii="仿宋" w:eastAsia="仿宋" w:hAnsi="仿宋"/>
          <w:sz w:val="32"/>
          <w:szCs w:val="32"/>
        </w:rPr>
        <w:t>2019</w:t>
      </w:r>
      <w:r w:rsidRPr="0077624D">
        <w:rPr>
          <w:rFonts w:ascii="仿宋" w:eastAsia="仿宋" w:hAnsi="仿宋" w:hint="eastAsia"/>
          <w:sz w:val="32"/>
          <w:szCs w:val="32"/>
        </w:rPr>
        <w:t>年度，资产公司向财政部上交国有资本收益</w:t>
      </w:r>
      <w:r w:rsidRPr="0077624D">
        <w:rPr>
          <w:rFonts w:ascii="仿宋" w:eastAsia="仿宋" w:hAnsi="仿宋"/>
          <w:sz w:val="32"/>
          <w:szCs w:val="32"/>
        </w:rPr>
        <w:t xml:space="preserve"> 1,151.34</w:t>
      </w:r>
      <w:r w:rsidRPr="0077624D">
        <w:rPr>
          <w:rFonts w:ascii="仿宋" w:eastAsia="仿宋" w:hAnsi="仿宋" w:hint="eastAsia"/>
          <w:sz w:val="32"/>
          <w:szCs w:val="32"/>
        </w:rPr>
        <w:t>万元，向学校上交投资收益</w:t>
      </w:r>
      <w:r w:rsidRPr="0077624D">
        <w:rPr>
          <w:rFonts w:ascii="仿宋" w:eastAsia="仿宋" w:hAnsi="仿宋"/>
          <w:sz w:val="32"/>
          <w:szCs w:val="32"/>
        </w:rPr>
        <w:t>1,552.27</w:t>
      </w:r>
      <w:r w:rsidRPr="0077624D">
        <w:rPr>
          <w:rFonts w:ascii="仿宋" w:eastAsia="仿宋" w:hAnsi="仿宋" w:hint="eastAsia"/>
          <w:sz w:val="32"/>
          <w:szCs w:val="32"/>
        </w:rPr>
        <w:t>万元。</w:t>
      </w:r>
    </w:p>
    <w:p w14:paraId="29AD1E75" w14:textId="77777777" w:rsidR="00B0216D" w:rsidRPr="0077624D" w:rsidRDefault="006F4BC7" w:rsidP="0077624D">
      <w:pPr>
        <w:spacing w:line="560" w:lineRule="exact"/>
        <w:ind w:firstLineChars="200" w:firstLine="643"/>
        <w:rPr>
          <w:rFonts w:ascii="楷体" w:eastAsia="楷体" w:hAnsi="楷体"/>
          <w:b/>
          <w:sz w:val="32"/>
          <w:szCs w:val="32"/>
        </w:rPr>
      </w:pPr>
      <w:r w:rsidRPr="0077624D">
        <w:rPr>
          <w:rFonts w:ascii="楷体" w:eastAsia="楷体" w:hAnsi="楷体" w:hint="eastAsia"/>
          <w:b/>
          <w:sz w:val="32"/>
          <w:szCs w:val="32"/>
        </w:rPr>
        <w:t>（四）</w:t>
      </w:r>
      <w:r w:rsidR="00B0216D" w:rsidRPr="0077624D">
        <w:rPr>
          <w:rFonts w:ascii="楷体" w:eastAsia="楷体" w:hAnsi="楷体" w:hint="eastAsia"/>
          <w:b/>
          <w:sz w:val="32"/>
          <w:szCs w:val="32"/>
        </w:rPr>
        <w:t>完成</w:t>
      </w:r>
      <w:proofErr w:type="gramStart"/>
      <w:r w:rsidR="00B0216D" w:rsidRPr="0077624D">
        <w:rPr>
          <w:rFonts w:ascii="楷体" w:eastAsia="楷体" w:hAnsi="楷体" w:hint="eastAsia"/>
          <w:b/>
          <w:sz w:val="32"/>
          <w:szCs w:val="32"/>
        </w:rPr>
        <w:t>尚川水务</w:t>
      </w:r>
      <w:proofErr w:type="gramEnd"/>
      <w:r w:rsidR="00B0216D" w:rsidRPr="0077624D">
        <w:rPr>
          <w:rFonts w:ascii="楷体" w:eastAsia="楷体" w:hAnsi="楷体" w:hint="eastAsia"/>
          <w:b/>
          <w:sz w:val="32"/>
          <w:szCs w:val="32"/>
        </w:rPr>
        <w:t>公司增资工作，促进科技成果转化、助力产学研一体化建设</w:t>
      </w:r>
    </w:p>
    <w:p w14:paraId="71763E9A" w14:textId="77777777" w:rsidR="00B0216D" w:rsidRPr="0077624D" w:rsidRDefault="00B0216D" w:rsidP="0077624D">
      <w:pPr>
        <w:spacing w:line="560" w:lineRule="exact"/>
        <w:ind w:firstLine="645"/>
        <w:rPr>
          <w:rFonts w:ascii="仿宋" w:eastAsia="仿宋" w:hAnsi="仿宋"/>
          <w:sz w:val="32"/>
          <w:szCs w:val="32"/>
        </w:rPr>
      </w:pPr>
      <w:r w:rsidRPr="0077624D">
        <w:rPr>
          <w:rFonts w:ascii="仿宋" w:eastAsia="仿宋" w:hAnsi="仿宋" w:hint="eastAsia"/>
          <w:sz w:val="32"/>
          <w:szCs w:val="32"/>
        </w:rPr>
        <w:t>为进一步推动科研成果转化体制机制的良性运转，促进产学研结合及学校理工学科发展，资产公司经董事会决议和学校批准，以现金50万元注资</w:t>
      </w:r>
      <w:proofErr w:type="gramStart"/>
      <w:r w:rsidRPr="0077624D">
        <w:rPr>
          <w:rFonts w:ascii="仿宋" w:eastAsia="仿宋" w:hAnsi="仿宋" w:hint="eastAsia"/>
          <w:sz w:val="32"/>
          <w:szCs w:val="32"/>
        </w:rPr>
        <w:t>尚川水务</w:t>
      </w:r>
      <w:proofErr w:type="gramEnd"/>
      <w:r w:rsidRPr="0077624D">
        <w:rPr>
          <w:rFonts w:ascii="仿宋" w:eastAsia="仿宋" w:hAnsi="仿宋" w:hint="eastAsia"/>
          <w:sz w:val="32"/>
          <w:szCs w:val="32"/>
        </w:rPr>
        <w:t>公司，相关工作已全部完成。</w:t>
      </w:r>
    </w:p>
    <w:p w14:paraId="604C85F4" w14:textId="77777777" w:rsidR="006F4BC7" w:rsidRPr="0077624D" w:rsidRDefault="00B0216D" w:rsidP="0077624D">
      <w:pPr>
        <w:spacing w:line="560" w:lineRule="exact"/>
        <w:ind w:firstLineChars="200" w:firstLine="643"/>
        <w:rPr>
          <w:rFonts w:ascii="楷体" w:eastAsia="楷体" w:hAnsi="楷体"/>
          <w:b/>
          <w:sz w:val="32"/>
          <w:szCs w:val="32"/>
        </w:rPr>
      </w:pPr>
      <w:r w:rsidRPr="0077624D">
        <w:rPr>
          <w:rFonts w:ascii="楷体" w:eastAsia="楷体" w:hAnsi="楷体" w:hint="eastAsia"/>
          <w:b/>
          <w:sz w:val="32"/>
          <w:szCs w:val="32"/>
        </w:rPr>
        <w:t>（五）</w:t>
      </w:r>
      <w:r w:rsidR="006F4BC7" w:rsidRPr="0077624D">
        <w:rPr>
          <w:rFonts w:ascii="楷体" w:eastAsia="楷体" w:hAnsi="楷体" w:hint="eastAsia"/>
          <w:b/>
          <w:sz w:val="32"/>
          <w:szCs w:val="32"/>
        </w:rPr>
        <w:t>中心下属二级全资子公司注销</w:t>
      </w:r>
    </w:p>
    <w:p w14:paraId="72BBC85D" w14:textId="77777777" w:rsidR="006F4BC7" w:rsidRPr="0077624D" w:rsidRDefault="006F4BC7" w:rsidP="0077624D">
      <w:pPr>
        <w:spacing w:line="560" w:lineRule="exact"/>
        <w:ind w:firstLine="645"/>
        <w:rPr>
          <w:rFonts w:ascii="仿宋" w:eastAsia="仿宋" w:hAnsi="仿宋"/>
          <w:sz w:val="32"/>
          <w:szCs w:val="32"/>
        </w:rPr>
      </w:pPr>
      <w:r w:rsidRPr="0077624D">
        <w:rPr>
          <w:rFonts w:ascii="仿宋" w:eastAsia="仿宋" w:hAnsi="仿宋" w:hint="eastAsia"/>
          <w:sz w:val="32"/>
          <w:szCs w:val="32"/>
        </w:rPr>
        <w:t>中国人民大学书报资料中心二级全资子公司北京市仁达书报资料咨询服务公司于</w:t>
      </w:r>
      <w:r w:rsidRPr="0077624D">
        <w:rPr>
          <w:rFonts w:ascii="仿宋" w:eastAsia="仿宋" w:hAnsi="仿宋"/>
          <w:sz w:val="32"/>
          <w:szCs w:val="32"/>
        </w:rPr>
        <w:t>2019</w:t>
      </w:r>
      <w:r w:rsidRPr="0077624D">
        <w:rPr>
          <w:rFonts w:ascii="仿宋" w:eastAsia="仿宋" w:hAnsi="仿宋" w:hint="eastAsia"/>
          <w:sz w:val="32"/>
          <w:szCs w:val="32"/>
        </w:rPr>
        <w:t>年</w:t>
      </w:r>
      <w:r w:rsidRPr="0077624D">
        <w:rPr>
          <w:rFonts w:ascii="仿宋" w:eastAsia="仿宋" w:hAnsi="仿宋"/>
          <w:sz w:val="32"/>
          <w:szCs w:val="32"/>
        </w:rPr>
        <w:t>7</w:t>
      </w:r>
      <w:r w:rsidRPr="0077624D">
        <w:rPr>
          <w:rFonts w:ascii="仿宋" w:eastAsia="仿宋" w:hAnsi="仿宋" w:hint="eastAsia"/>
          <w:sz w:val="32"/>
          <w:szCs w:val="32"/>
        </w:rPr>
        <w:t>月完成注销手续。</w:t>
      </w:r>
    </w:p>
    <w:p w14:paraId="2902991D" w14:textId="77777777" w:rsidR="006F4BC7" w:rsidRDefault="006F4BC7" w:rsidP="00B0216D">
      <w:pPr>
        <w:ind w:firstLineChars="200" w:firstLine="560"/>
        <w:rPr>
          <w:rFonts w:ascii="仿宋_GB2312" w:eastAsia="仿宋_GB2312" w:hAnsi="Times New Roman"/>
          <w:sz w:val="28"/>
          <w:szCs w:val="28"/>
        </w:rPr>
      </w:pPr>
    </w:p>
    <w:p w14:paraId="63B8B4CA" w14:textId="77777777" w:rsidR="006F4BC7" w:rsidRPr="00763857" w:rsidRDefault="006F4BC7" w:rsidP="00763857">
      <w:pPr>
        <w:ind w:firstLineChars="196" w:firstLine="627"/>
        <w:rPr>
          <w:rFonts w:ascii="黑体" w:eastAsia="黑体" w:hAnsi="黑体"/>
          <w:bCs/>
          <w:sz w:val="32"/>
          <w:szCs w:val="32"/>
        </w:rPr>
      </w:pPr>
      <w:r w:rsidRPr="00763857">
        <w:rPr>
          <w:rFonts w:ascii="黑体" w:eastAsia="黑体" w:hAnsi="黑体" w:hint="eastAsia"/>
          <w:bCs/>
          <w:sz w:val="32"/>
          <w:szCs w:val="32"/>
        </w:rPr>
        <w:t>五、面临的困难与挑战</w:t>
      </w:r>
    </w:p>
    <w:p w14:paraId="3FFC9F9F" w14:textId="77777777" w:rsidR="006F4BC7" w:rsidRPr="0077624D" w:rsidRDefault="006F4BC7" w:rsidP="0077624D">
      <w:pPr>
        <w:spacing w:line="560" w:lineRule="exact"/>
        <w:ind w:firstLine="645"/>
        <w:rPr>
          <w:rFonts w:ascii="仿宋" w:eastAsia="仿宋" w:hAnsi="仿宋"/>
          <w:sz w:val="32"/>
          <w:szCs w:val="32"/>
        </w:rPr>
      </w:pPr>
      <w:r w:rsidRPr="0077624D">
        <w:rPr>
          <w:rFonts w:ascii="仿宋" w:eastAsia="仿宋" w:hAnsi="仿宋" w:hint="eastAsia"/>
          <w:sz w:val="32"/>
          <w:szCs w:val="32"/>
        </w:rPr>
        <w:t>总体来讲，企业年度决算工作进行得较为顺利，在工作中学校进一步规范了各下属企业的日常核算，决算分析也为企业管理者及报告相关使用者提供了重要的决策依据。但目前决算工作中仍存在着一些需要解决的实际问题，主要表现为部分科目未建立</w:t>
      </w:r>
      <w:r w:rsidRPr="0077624D">
        <w:rPr>
          <w:rFonts w:ascii="仿宋" w:eastAsia="仿宋" w:hAnsi="仿宋" w:hint="eastAsia"/>
          <w:sz w:val="32"/>
          <w:szCs w:val="32"/>
        </w:rPr>
        <w:lastRenderedPageBreak/>
        <w:t>自动核验勾</w:t>
      </w:r>
      <w:proofErr w:type="gramStart"/>
      <w:r w:rsidRPr="0077624D">
        <w:rPr>
          <w:rFonts w:ascii="仿宋" w:eastAsia="仿宋" w:hAnsi="仿宋" w:hint="eastAsia"/>
          <w:sz w:val="32"/>
          <w:szCs w:val="32"/>
        </w:rPr>
        <w:t>稽</w:t>
      </w:r>
      <w:proofErr w:type="gramEnd"/>
      <w:r w:rsidRPr="0077624D">
        <w:rPr>
          <w:rFonts w:ascii="仿宋" w:eastAsia="仿宋" w:hAnsi="仿宋" w:hint="eastAsia"/>
          <w:sz w:val="32"/>
          <w:szCs w:val="32"/>
        </w:rPr>
        <w:t>关系等问题，具体如下：</w:t>
      </w:r>
      <w:r w:rsidRPr="0077624D">
        <w:rPr>
          <w:rFonts w:ascii="仿宋" w:eastAsia="仿宋" w:hAnsi="仿宋"/>
          <w:sz w:val="32"/>
          <w:szCs w:val="32"/>
        </w:rPr>
        <w:t xml:space="preserve"> </w:t>
      </w:r>
    </w:p>
    <w:p w14:paraId="5984625D" w14:textId="77777777" w:rsidR="006F4BC7" w:rsidRPr="0077624D" w:rsidRDefault="006F4BC7" w:rsidP="0077624D">
      <w:pPr>
        <w:spacing w:line="560" w:lineRule="exact"/>
        <w:ind w:firstLine="645"/>
        <w:rPr>
          <w:rFonts w:ascii="仿宋" w:eastAsia="仿宋" w:hAnsi="仿宋"/>
          <w:sz w:val="32"/>
          <w:szCs w:val="32"/>
        </w:rPr>
      </w:pPr>
      <w:r w:rsidRPr="0077624D">
        <w:rPr>
          <w:rFonts w:ascii="仿宋" w:eastAsia="仿宋" w:hAnsi="仿宋"/>
          <w:sz w:val="32"/>
          <w:szCs w:val="32"/>
        </w:rPr>
        <w:t>1</w:t>
      </w:r>
      <w:r w:rsidRPr="0077624D">
        <w:rPr>
          <w:rFonts w:ascii="仿宋" w:eastAsia="仿宋" w:hAnsi="仿宋" w:hint="eastAsia"/>
          <w:sz w:val="32"/>
          <w:szCs w:val="32"/>
        </w:rPr>
        <w:t>、部分科目未建立自动核验勾</w:t>
      </w:r>
      <w:proofErr w:type="gramStart"/>
      <w:r w:rsidRPr="0077624D">
        <w:rPr>
          <w:rFonts w:ascii="仿宋" w:eastAsia="仿宋" w:hAnsi="仿宋" w:hint="eastAsia"/>
          <w:sz w:val="32"/>
          <w:szCs w:val="32"/>
        </w:rPr>
        <w:t>稽</w:t>
      </w:r>
      <w:proofErr w:type="gramEnd"/>
      <w:r w:rsidRPr="0077624D">
        <w:rPr>
          <w:rFonts w:ascii="仿宋" w:eastAsia="仿宋" w:hAnsi="仿宋" w:hint="eastAsia"/>
          <w:sz w:val="32"/>
          <w:szCs w:val="32"/>
        </w:rPr>
        <w:t>关系。例如：资产负债表中“归属于母公司所有者权益（或股东权益）合计”可以不等于国有资本权益变动情况表中的“国有资本权益总额”数。</w:t>
      </w:r>
    </w:p>
    <w:p w14:paraId="46BE6E30" w14:textId="77777777" w:rsidR="006F4BC7" w:rsidRPr="0077624D" w:rsidRDefault="006F4BC7" w:rsidP="0077624D">
      <w:pPr>
        <w:spacing w:line="560" w:lineRule="exact"/>
        <w:ind w:firstLine="645"/>
        <w:rPr>
          <w:rFonts w:ascii="仿宋" w:eastAsia="仿宋" w:hAnsi="仿宋"/>
          <w:sz w:val="32"/>
          <w:szCs w:val="32"/>
        </w:rPr>
      </w:pPr>
      <w:r w:rsidRPr="0077624D">
        <w:rPr>
          <w:rFonts w:ascii="仿宋" w:eastAsia="仿宋" w:hAnsi="仿宋"/>
          <w:sz w:val="32"/>
          <w:szCs w:val="32"/>
        </w:rPr>
        <w:t>2</w:t>
      </w:r>
      <w:r w:rsidRPr="0077624D">
        <w:rPr>
          <w:rFonts w:ascii="仿宋" w:eastAsia="仿宋" w:hAnsi="仿宋" w:hint="eastAsia"/>
          <w:sz w:val="32"/>
          <w:szCs w:val="32"/>
        </w:rPr>
        <w:t>、《财务情况说明书》与《资产管理情况报告》部分内容重合。例如报表项目本年与上年变化的分析、重大事项说明以及风险管理情况等。</w:t>
      </w:r>
    </w:p>
    <w:p w14:paraId="12961091" w14:textId="77777777" w:rsidR="006F4BC7" w:rsidRDefault="006F4BC7" w:rsidP="00B0216D">
      <w:pPr>
        <w:ind w:firstLineChars="200" w:firstLine="560"/>
        <w:rPr>
          <w:rFonts w:ascii="仿宋_GB2312" w:eastAsia="仿宋_GB2312" w:hAnsi="宋体"/>
          <w:b/>
          <w:sz w:val="28"/>
          <w:szCs w:val="28"/>
        </w:rPr>
      </w:pPr>
    </w:p>
    <w:p w14:paraId="22063816" w14:textId="77777777" w:rsidR="006F4BC7" w:rsidRPr="00763857" w:rsidRDefault="006F4BC7" w:rsidP="00763857">
      <w:pPr>
        <w:ind w:firstLineChars="196" w:firstLine="627"/>
        <w:rPr>
          <w:rFonts w:ascii="黑体" w:eastAsia="黑体" w:hAnsi="黑体"/>
          <w:bCs/>
          <w:sz w:val="32"/>
          <w:szCs w:val="32"/>
        </w:rPr>
      </w:pPr>
      <w:r w:rsidRPr="00763857">
        <w:rPr>
          <w:rFonts w:ascii="黑体" w:eastAsia="黑体" w:hAnsi="黑体" w:hint="eastAsia"/>
          <w:bCs/>
          <w:sz w:val="32"/>
          <w:szCs w:val="32"/>
        </w:rPr>
        <w:t>六、有关工作建议</w:t>
      </w:r>
    </w:p>
    <w:p w14:paraId="63A25A50" w14:textId="77777777" w:rsidR="006F4BC7" w:rsidRPr="0077624D" w:rsidRDefault="006F4BC7" w:rsidP="0077624D">
      <w:pPr>
        <w:spacing w:line="560" w:lineRule="exact"/>
        <w:ind w:firstLine="645"/>
        <w:rPr>
          <w:rFonts w:ascii="仿宋" w:eastAsia="仿宋" w:hAnsi="仿宋"/>
          <w:sz w:val="32"/>
          <w:szCs w:val="32"/>
        </w:rPr>
      </w:pPr>
      <w:r w:rsidRPr="0077624D">
        <w:rPr>
          <w:rFonts w:ascii="仿宋" w:eastAsia="仿宋" w:hAnsi="仿宋"/>
          <w:sz w:val="32"/>
          <w:szCs w:val="32"/>
        </w:rPr>
        <w:t>1</w:t>
      </w:r>
      <w:r w:rsidRPr="0077624D">
        <w:rPr>
          <w:rFonts w:ascii="仿宋" w:eastAsia="仿宋" w:hAnsi="仿宋" w:hint="eastAsia"/>
          <w:sz w:val="32"/>
          <w:szCs w:val="32"/>
        </w:rPr>
        <w:t>、完善报表逻辑关系，设定填报审核。</w:t>
      </w:r>
    </w:p>
    <w:p w14:paraId="666FA359" w14:textId="77777777" w:rsidR="006F4BC7" w:rsidRPr="0077624D" w:rsidRDefault="006F4BC7" w:rsidP="0077624D">
      <w:pPr>
        <w:spacing w:line="560" w:lineRule="exact"/>
        <w:ind w:firstLine="645"/>
        <w:rPr>
          <w:rFonts w:ascii="仿宋" w:eastAsia="仿宋" w:hAnsi="仿宋"/>
          <w:sz w:val="32"/>
          <w:szCs w:val="32"/>
        </w:rPr>
      </w:pPr>
      <w:r w:rsidRPr="0077624D">
        <w:rPr>
          <w:rFonts w:ascii="仿宋" w:eastAsia="仿宋" w:hAnsi="仿宋"/>
          <w:sz w:val="32"/>
          <w:szCs w:val="32"/>
        </w:rPr>
        <w:t>2</w:t>
      </w:r>
      <w:r w:rsidRPr="0077624D">
        <w:rPr>
          <w:rFonts w:ascii="仿宋" w:eastAsia="仿宋" w:hAnsi="仿宋" w:hint="eastAsia"/>
          <w:sz w:val="32"/>
          <w:szCs w:val="32"/>
        </w:rPr>
        <w:t>、优化两份报告的联系和侧重方向。</w:t>
      </w:r>
    </w:p>
    <w:sectPr w:rsidR="006F4BC7" w:rsidRPr="0077624D" w:rsidSect="00745900">
      <w:footerReference w:type="default" r:id="rId7"/>
      <w:pgSz w:w="11906" w:h="16838" w:code="9"/>
      <w:pgMar w:top="1361" w:right="1474" w:bottom="1361" w:left="1474" w:header="851" w:footer="992"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71B436" w14:textId="77777777" w:rsidR="00533AA4" w:rsidRDefault="00533AA4" w:rsidP="00E8367F">
      <w:r>
        <w:separator/>
      </w:r>
    </w:p>
  </w:endnote>
  <w:endnote w:type="continuationSeparator" w:id="0">
    <w:p w14:paraId="609310B3" w14:textId="77777777" w:rsidR="00533AA4" w:rsidRDefault="00533AA4" w:rsidP="00E836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方正小标宋简体">
    <w:panose1 w:val="02010601030101010101"/>
    <w:charset w:val="86"/>
    <w:family w:val="auto"/>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仿宋_GB2312">
    <w:altName w:val="微软雅黑"/>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6B997D" w14:textId="77777777" w:rsidR="006F4BC7" w:rsidRDefault="006F4BC7">
    <w:pPr>
      <w:pStyle w:val="a5"/>
      <w:jc w:val="center"/>
    </w:pPr>
    <w:r>
      <w:fldChar w:fldCharType="begin"/>
    </w:r>
    <w:r>
      <w:instrText>PAGE   \* MERGEFORMAT</w:instrText>
    </w:r>
    <w:r>
      <w:fldChar w:fldCharType="separate"/>
    </w:r>
    <w:r w:rsidR="00980C3D" w:rsidRPr="00980C3D">
      <w:rPr>
        <w:noProof/>
        <w:lang w:val="zh-CN"/>
      </w:rPr>
      <w:t>4</w:t>
    </w:r>
    <w:r>
      <w:fldChar w:fldCharType="end"/>
    </w:r>
  </w:p>
  <w:p w14:paraId="3DEC491F" w14:textId="77777777" w:rsidR="006F4BC7" w:rsidRDefault="006F4BC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A4A952" w14:textId="77777777" w:rsidR="00533AA4" w:rsidRDefault="00533AA4" w:rsidP="00E8367F">
      <w:r>
        <w:separator/>
      </w:r>
    </w:p>
  </w:footnote>
  <w:footnote w:type="continuationSeparator" w:id="0">
    <w:p w14:paraId="240D48A6" w14:textId="77777777" w:rsidR="00533AA4" w:rsidRDefault="00533AA4" w:rsidP="00E836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1A055B"/>
    <w:multiLevelType w:val="hybridMultilevel"/>
    <w:tmpl w:val="248A0798"/>
    <w:lvl w:ilvl="0" w:tplc="B2D2CEAC">
      <w:start w:val="1"/>
      <w:numFmt w:val="decimal"/>
      <w:lvlText w:val="%1、"/>
      <w:lvlJc w:val="left"/>
      <w:pPr>
        <w:ind w:left="842" w:hanging="360"/>
      </w:pPr>
      <w:rPr>
        <w:rFonts w:cs="Times New Roman" w:hint="default"/>
      </w:rPr>
    </w:lvl>
    <w:lvl w:ilvl="1" w:tplc="04090019" w:tentative="1">
      <w:start w:val="1"/>
      <w:numFmt w:val="lowerLetter"/>
      <w:lvlText w:val="%2)"/>
      <w:lvlJc w:val="left"/>
      <w:pPr>
        <w:ind w:left="1322" w:hanging="420"/>
      </w:pPr>
      <w:rPr>
        <w:rFonts w:cs="Times New Roman"/>
      </w:rPr>
    </w:lvl>
    <w:lvl w:ilvl="2" w:tplc="0409001B" w:tentative="1">
      <w:start w:val="1"/>
      <w:numFmt w:val="lowerRoman"/>
      <w:lvlText w:val="%3."/>
      <w:lvlJc w:val="right"/>
      <w:pPr>
        <w:ind w:left="1742" w:hanging="420"/>
      </w:pPr>
      <w:rPr>
        <w:rFonts w:cs="Times New Roman"/>
      </w:rPr>
    </w:lvl>
    <w:lvl w:ilvl="3" w:tplc="0409000F" w:tentative="1">
      <w:start w:val="1"/>
      <w:numFmt w:val="decimal"/>
      <w:lvlText w:val="%4."/>
      <w:lvlJc w:val="left"/>
      <w:pPr>
        <w:ind w:left="2162" w:hanging="420"/>
      </w:pPr>
      <w:rPr>
        <w:rFonts w:cs="Times New Roman"/>
      </w:rPr>
    </w:lvl>
    <w:lvl w:ilvl="4" w:tplc="04090019" w:tentative="1">
      <w:start w:val="1"/>
      <w:numFmt w:val="lowerLetter"/>
      <w:lvlText w:val="%5)"/>
      <w:lvlJc w:val="left"/>
      <w:pPr>
        <w:ind w:left="2582" w:hanging="420"/>
      </w:pPr>
      <w:rPr>
        <w:rFonts w:cs="Times New Roman"/>
      </w:rPr>
    </w:lvl>
    <w:lvl w:ilvl="5" w:tplc="0409001B" w:tentative="1">
      <w:start w:val="1"/>
      <w:numFmt w:val="lowerRoman"/>
      <w:lvlText w:val="%6."/>
      <w:lvlJc w:val="right"/>
      <w:pPr>
        <w:ind w:left="3002" w:hanging="420"/>
      </w:pPr>
      <w:rPr>
        <w:rFonts w:cs="Times New Roman"/>
      </w:rPr>
    </w:lvl>
    <w:lvl w:ilvl="6" w:tplc="0409000F" w:tentative="1">
      <w:start w:val="1"/>
      <w:numFmt w:val="decimal"/>
      <w:lvlText w:val="%7."/>
      <w:lvlJc w:val="left"/>
      <w:pPr>
        <w:ind w:left="3422" w:hanging="420"/>
      </w:pPr>
      <w:rPr>
        <w:rFonts w:cs="Times New Roman"/>
      </w:rPr>
    </w:lvl>
    <w:lvl w:ilvl="7" w:tplc="04090019" w:tentative="1">
      <w:start w:val="1"/>
      <w:numFmt w:val="lowerLetter"/>
      <w:lvlText w:val="%8)"/>
      <w:lvlJc w:val="left"/>
      <w:pPr>
        <w:ind w:left="3842" w:hanging="420"/>
      </w:pPr>
      <w:rPr>
        <w:rFonts w:cs="Times New Roman"/>
      </w:rPr>
    </w:lvl>
    <w:lvl w:ilvl="8" w:tplc="0409001B" w:tentative="1">
      <w:start w:val="1"/>
      <w:numFmt w:val="lowerRoman"/>
      <w:lvlText w:val="%9."/>
      <w:lvlJc w:val="right"/>
      <w:pPr>
        <w:ind w:left="4262" w:hanging="420"/>
      </w:pPr>
      <w:rPr>
        <w:rFonts w:cs="Times New Roman"/>
      </w:rPr>
    </w:lvl>
  </w:abstractNum>
  <w:abstractNum w:abstractNumId="1" w15:restartNumberingAfterBreak="0">
    <w:nsid w:val="73CD5822"/>
    <w:multiLevelType w:val="hybridMultilevel"/>
    <w:tmpl w:val="7A72E4E6"/>
    <w:lvl w:ilvl="0" w:tplc="FC4C965A">
      <w:start w:val="1"/>
      <w:numFmt w:val="decimal"/>
      <w:lvlText w:val="%1、"/>
      <w:lvlJc w:val="left"/>
      <w:pPr>
        <w:ind w:left="842" w:hanging="360"/>
      </w:pPr>
      <w:rPr>
        <w:rFonts w:cs="Times New Roman" w:hint="default"/>
      </w:rPr>
    </w:lvl>
    <w:lvl w:ilvl="1" w:tplc="04090019" w:tentative="1">
      <w:start w:val="1"/>
      <w:numFmt w:val="lowerLetter"/>
      <w:lvlText w:val="%2)"/>
      <w:lvlJc w:val="left"/>
      <w:pPr>
        <w:ind w:left="1322" w:hanging="420"/>
      </w:pPr>
      <w:rPr>
        <w:rFonts w:cs="Times New Roman"/>
      </w:rPr>
    </w:lvl>
    <w:lvl w:ilvl="2" w:tplc="0409001B" w:tentative="1">
      <w:start w:val="1"/>
      <w:numFmt w:val="lowerRoman"/>
      <w:lvlText w:val="%3."/>
      <w:lvlJc w:val="right"/>
      <w:pPr>
        <w:ind w:left="1742" w:hanging="420"/>
      </w:pPr>
      <w:rPr>
        <w:rFonts w:cs="Times New Roman"/>
      </w:rPr>
    </w:lvl>
    <w:lvl w:ilvl="3" w:tplc="0409000F" w:tentative="1">
      <w:start w:val="1"/>
      <w:numFmt w:val="decimal"/>
      <w:lvlText w:val="%4."/>
      <w:lvlJc w:val="left"/>
      <w:pPr>
        <w:ind w:left="2162" w:hanging="420"/>
      </w:pPr>
      <w:rPr>
        <w:rFonts w:cs="Times New Roman"/>
      </w:rPr>
    </w:lvl>
    <w:lvl w:ilvl="4" w:tplc="04090019" w:tentative="1">
      <w:start w:val="1"/>
      <w:numFmt w:val="lowerLetter"/>
      <w:lvlText w:val="%5)"/>
      <w:lvlJc w:val="left"/>
      <w:pPr>
        <w:ind w:left="2582" w:hanging="420"/>
      </w:pPr>
      <w:rPr>
        <w:rFonts w:cs="Times New Roman"/>
      </w:rPr>
    </w:lvl>
    <w:lvl w:ilvl="5" w:tplc="0409001B" w:tentative="1">
      <w:start w:val="1"/>
      <w:numFmt w:val="lowerRoman"/>
      <w:lvlText w:val="%6."/>
      <w:lvlJc w:val="right"/>
      <w:pPr>
        <w:ind w:left="3002" w:hanging="420"/>
      </w:pPr>
      <w:rPr>
        <w:rFonts w:cs="Times New Roman"/>
      </w:rPr>
    </w:lvl>
    <w:lvl w:ilvl="6" w:tplc="0409000F" w:tentative="1">
      <w:start w:val="1"/>
      <w:numFmt w:val="decimal"/>
      <w:lvlText w:val="%7."/>
      <w:lvlJc w:val="left"/>
      <w:pPr>
        <w:ind w:left="3422" w:hanging="420"/>
      </w:pPr>
      <w:rPr>
        <w:rFonts w:cs="Times New Roman"/>
      </w:rPr>
    </w:lvl>
    <w:lvl w:ilvl="7" w:tplc="04090019" w:tentative="1">
      <w:start w:val="1"/>
      <w:numFmt w:val="lowerLetter"/>
      <w:lvlText w:val="%8)"/>
      <w:lvlJc w:val="left"/>
      <w:pPr>
        <w:ind w:left="3842" w:hanging="420"/>
      </w:pPr>
      <w:rPr>
        <w:rFonts w:cs="Times New Roman"/>
      </w:rPr>
    </w:lvl>
    <w:lvl w:ilvl="8" w:tplc="0409001B" w:tentative="1">
      <w:start w:val="1"/>
      <w:numFmt w:val="lowerRoman"/>
      <w:lvlText w:val="%9."/>
      <w:lvlJc w:val="right"/>
      <w:pPr>
        <w:ind w:left="4262"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8367F"/>
    <w:rsid w:val="00005DB8"/>
    <w:rsid w:val="00012372"/>
    <w:rsid w:val="00021B5D"/>
    <w:rsid w:val="00023211"/>
    <w:rsid w:val="00042743"/>
    <w:rsid w:val="00042BCD"/>
    <w:rsid w:val="00051095"/>
    <w:rsid w:val="00053120"/>
    <w:rsid w:val="000612AC"/>
    <w:rsid w:val="00063117"/>
    <w:rsid w:val="000668EA"/>
    <w:rsid w:val="00092526"/>
    <w:rsid w:val="0009438F"/>
    <w:rsid w:val="000A2304"/>
    <w:rsid w:val="000C26F7"/>
    <w:rsid w:val="000C3226"/>
    <w:rsid w:val="000D361A"/>
    <w:rsid w:val="000D62FE"/>
    <w:rsid w:val="000E27AA"/>
    <w:rsid w:val="000F5227"/>
    <w:rsid w:val="0010374D"/>
    <w:rsid w:val="00110C8D"/>
    <w:rsid w:val="00111A35"/>
    <w:rsid w:val="00111E22"/>
    <w:rsid w:val="001150DE"/>
    <w:rsid w:val="0014316A"/>
    <w:rsid w:val="00153A0A"/>
    <w:rsid w:val="00156D58"/>
    <w:rsid w:val="0015715A"/>
    <w:rsid w:val="00161278"/>
    <w:rsid w:val="00161FB8"/>
    <w:rsid w:val="00163F7E"/>
    <w:rsid w:val="00165D79"/>
    <w:rsid w:val="0016609B"/>
    <w:rsid w:val="00170ABE"/>
    <w:rsid w:val="00170F3D"/>
    <w:rsid w:val="00173C62"/>
    <w:rsid w:val="00174310"/>
    <w:rsid w:val="00186481"/>
    <w:rsid w:val="001915EE"/>
    <w:rsid w:val="00196B1F"/>
    <w:rsid w:val="001A549B"/>
    <w:rsid w:val="001A767D"/>
    <w:rsid w:val="001B0D45"/>
    <w:rsid w:val="001B144D"/>
    <w:rsid w:val="001C2E62"/>
    <w:rsid w:val="001D24D7"/>
    <w:rsid w:val="001D25F7"/>
    <w:rsid w:val="001D67BA"/>
    <w:rsid w:val="00201B9E"/>
    <w:rsid w:val="0020303F"/>
    <w:rsid w:val="0020338D"/>
    <w:rsid w:val="00210C47"/>
    <w:rsid w:val="00221898"/>
    <w:rsid w:val="0023449C"/>
    <w:rsid w:val="0023657C"/>
    <w:rsid w:val="00245FA1"/>
    <w:rsid w:val="00247A32"/>
    <w:rsid w:val="00250428"/>
    <w:rsid w:val="002645A6"/>
    <w:rsid w:val="00285E0B"/>
    <w:rsid w:val="00296AAB"/>
    <w:rsid w:val="002B7AB5"/>
    <w:rsid w:val="002C2017"/>
    <w:rsid w:val="002E490C"/>
    <w:rsid w:val="002F4D70"/>
    <w:rsid w:val="00310920"/>
    <w:rsid w:val="00313F07"/>
    <w:rsid w:val="003146DF"/>
    <w:rsid w:val="00315404"/>
    <w:rsid w:val="00316309"/>
    <w:rsid w:val="00322252"/>
    <w:rsid w:val="00340BF6"/>
    <w:rsid w:val="003414CB"/>
    <w:rsid w:val="00342220"/>
    <w:rsid w:val="00347251"/>
    <w:rsid w:val="00357CAF"/>
    <w:rsid w:val="00362A5F"/>
    <w:rsid w:val="0036349C"/>
    <w:rsid w:val="00364D79"/>
    <w:rsid w:val="00372CC7"/>
    <w:rsid w:val="00385802"/>
    <w:rsid w:val="00386473"/>
    <w:rsid w:val="00386DA5"/>
    <w:rsid w:val="00387355"/>
    <w:rsid w:val="00394B80"/>
    <w:rsid w:val="003A1262"/>
    <w:rsid w:val="003A1B2A"/>
    <w:rsid w:val="003A675E"/>
    <w:rsid w:val="003A719B"/>
    <w:rsid w:val="003C0412"/>
    <w:rsid w:val="003C0DA6"/>
    <w:rsid w:val="003C1456"/>
    <w:rsid w:val="003C278A"/>
    <w:rsid w:val="003C4199"/>
    <w:rsid w:val="003D4B9C"/>
    <w:rsid w:val="003F6CAE"/>
    <w:rsid w:val="00402665"/>
    <w:rsid w:val="00416B35"/>
    <w:rsid w:val="00420C0F"/>
    <w:rsid w:val="00426F29"/>
    <w:rsid w:val="00434450"/>
    <w:rsid w:val="00444449"/>
    <w:rsid w:val="00462EE2"/>
    <w:rsid w:val="004649BC"/>
    <w:rsid w:val="0046522B"/>
    <w:rsid w:val="004701F6"/>
    <w:rsid w:val="004739DF"/>
    <w:rsid w:val="004801FC"/>
    <w:rsid w:val="004820F1"/>
    <w:rsid w:val="004A1374"/>
    <w:rsid w:val="004A569C"/>
    <w:rsid w:val="004B715F"/>
    <w:rsid w:val="004C16DC"/>
    <w:rsid w:val="004C24F3"/>
    <w:rsid w:val="004C6172"/>
    <w:rsid w:val="004D467F"/>
    <w:rsid w:val="004D5D52"/>
    <w:rsid w:val="004D600A"/>
    <w:rsid w:val="0051087D"/>
    <w:rsid w:val="005127F4"/>
    <w:rsid w:val="005137F4"/>
    <w:rsid w:val="00514B55"/>
    <w:rsid w:val="00514C9E"/>
    <w:rsid w:val="00515A02"/>
    <w:rsid w:val="00516ED8"/>
    <w:rsid w:val="00522C05"/>
    <w:rsid w:val="00533AA4"/>
    <w:rsid w:val="00537D13"/>
    <w:rsid w:val="00540A88"/>
    <w:rsid w:val="00542676"/>
    <w:rsid w:val="00552449"/>
    <w:rsid w:val="00570826"/>
    <w:rsid w:val="005766ED"/>
    <w:rsid w:val="00577F2D"/>
    <w:rsid w:val="0058160C"/>
    <w:rsid w:val="0058278F"/>
    <w:rsid w:val="00584084"/>
    <w:rsid w:val="00587939"/>
    <w:rsid w:val="0059688B"/>
    <w:rsid w:val="005A22C0"/>
    <w:rsid w:val="005A3B83"/>
    <w:rsid w:val="005B5EC9"/>
    <w:rsid w:val="005C0AEA"/>
    <w:rsid w:val="005D137D"/>
    <w:rsid w:val="005D4D5E"/>
    <w:rsid w:val="005D7279"/>
    <w:rsid w:val="005E791E"/>
    <w:rsid w:val="005F4040"/>
    <w:rsid w:val="005F74A7"/>
    <w:rsid w:val="0060050D"/>
    <w:rsid w:val="006161A5"/>
    <w:rsid w:val="00616946"/>
    <w:rsid w:val="0062345B"/>
    <w:rsid w:val="00631A59"/>
    <w:rsid w:val="00636B07"/>
    <w:rsid w:val="0064039D"/>
    <w:rsid w:val="00656967"/>
    <w:rsid w:val="006723D0"/>
    <w:rsid w:val="00676D18"/>
    <w:rsid w:val="0068326D"/>
    <w:rsid w:val="006878B7"/>
    <w:rsid w:val="00695524"/>
    <w:rsid w:val="006966FB"/>
    <w:rsid w:val="006A5C3E"/>
    <w:rsid w:val="006A631D"/>
    <w:rsid w:val="006B15B6"/>
    <w:rsid w:val="006B3709"/>
    <w:rsid w:val="006D1358"/>
    <w:rsid w:val="006D4381"/>
    <w:rsid w:val="006F0FCC"/>
    <w:rsid w:val="006F4BC7"/>
    <w:rsid w:val="00701577"/>
    <w:rsid w:val="00712C32"/>
    <w:rsid w:val="007136AB"/>
    <w:rsid w:val="0071503A"/>
    <w:rsid w:val="00725CFD"/>
    <w:rsid w:val="00736CD5"/>
    <w:rsid w:val="00736D7B"/>
    <w:rsid w:val="00745900"/>
    <w:rsid w:val="0075344B"/>
    <w:rsid w:val="00756357"/>
    <w:rsid w:val="0076022F"/>
    <w:rsid w:val="00763857"/>
    <w:rsid w:val="00764A4F"/>
    <w:rsid w:val="00767568"/>
    <w:rsid w:val="00767CCD"/>
    <w:rsid w:val="00773C1A"/>
    <w:rsid w:val="0077624D"/>
    <w:rsid w:val="00783CEB"/>
    <w:rsid w:val="00793941"/>
    <w:rsid w:val="007A4D0E"/>
    <w:rsid w:val="007C1F94"/>
    <w:rsid w:val="007D7C8C"/>
    <w:rsid w:val="007F5E20"/>
    <w:rsid w:val="007F665A"/>
    <w:rsid w:val="0080679C"/>
    <w:rsid w:val="00820605"/>
    <w:rsid w:val="00823BF6"/>
    <w:rsid w:val="008245B0"/>
    <w:rsid w:val="00826B9C"/>
    <w:rsid w:val="008425DD"/>
    <w:rsid w:val="00850FC6"/>
    <w:rsid w:val="008650DB"/>
    <w:rsid w:val="008715E4"/>
    <w:rsid w:val="00876163"/>
    <w:rsid w:val="0088674C"/>
    <w:rsid w:val="00886DF6"/>
    <w:rsid w:val="00887E75"/>
    <w:rsid w:val="0089244D"/>
    <w:rsid w:val="008939D2"/>
    <w:rsid w:val="00897638"/>
    <w:rsid w:val="008C57A0"/>
    <w:rsid w:val="008D1D4E"/>
    <w:rsid w:val="008D25A3"/>
    <w:rsid w:val="008D5998"/>
    <w:rsid w:val="008D5E9A"/>
    <w:rsid w:val="008D5F8B"/>
    <w:rsid w:val="008E3CB1"/>
    <w:rsid w:val="008E5755"/>
    <w:rsid w:val="008E6888"/>
    <w:rsid w:val="008F14E0"/>
    <w:rsid w:val="008F2EC0"/>
    <w:rsid w:val="008F4BFC"/>
    <w:rsid w:val="00904923"/>
    <w:rsid w:val="009118DA"/>
    <w:rsid w:val="00914B94"/>
    <w:rsid w:val="0094314A"/>
    <w:rsid w:val="009447A5"/>
    <w:rsid w:val="00953A13"/>
    <w:rsid w:val="009627F0"/>
    <w:rsid w:val="0097176D"/>
    <w:rsid w:val="009736B7"/>
    <w:rsid w:val="00973E84"/>
    <w:rsid w:val="00980382"/>
    <w:rsid w:val="00980C3D"/>
    <w:rsid w:val="00987C98"/>
    <w:rsid w:val="00997292"/>
    <w:rsid w:val="009A6AD3"/>
    <w:rsid w:val="009C049B"/>
    <w:rsid w:val="009C7ED8"/>
    <w:rsid w:val="009D401A"/>
    <w:rsid w:val="009D7E8B"/>
    <w:rsid w:val="009E4B1F"/>
    <w:rsid w:val="009F716C"/>
    <w:rsid w:val="00A10302"/>
    <w:rsid w:val="00A14AF8"/>
    <w:rsid w:val="00A25612"/>
    <w:rsid w:val="00A37BAB"/>
    <w:rsid w:val="00A37D3A"/>
    <w:rsid w:val="00A42B35"/>
    <w:rsid w:val="00A46F49"/>
    <w:rsid w:val="00A72484"/>
    <w:rsid w:val="00A803C2"/>
    <w:rsid w:val="00A84A2E"/>
    <w:rsid w:val="00A869CF"/>
    <w:rsid w:val="00A87B79"/>
    <w:rsid w:val="00A925C6"/>
    <w:rsid w:val="00A965D3"/>
    <w:rsid w:val="00AA617B"/>
    <w:rsid w:val="00AA6474"/>
    <w:rsid w:val="00AB35AE"/>
    <w:rsid w:val="00AC34BD"/>
    <w:rsid w:val="00AC6FDA"/>
    <w:rsid w:val="00AD1055"/>
    <w:rsid w:val="00AD61C4"/>
    <w:rsid w:val="00AF5402"/>
    <w:rsid w:val="00B0216D"/>
    <w:rsid w:val="00B05FAA"/>
    <w:rsid w:val="00B1072E"/>
    <w:rsid w:val="00B20176"/>
    <w:rsid w:val="00B26A9F"/>
    <w:rsid w:val="00B35E9A"/>
    <w:rsid w:val="00B372BF"/>
    <w:rsid w:val="00B464C9"/>
    <w:rsid w:val="00B63A75"/>
    <w:rsid w:val="00B6730E"/>
    <w:rsid w:val="00B736D7"/>
    <w:rsid w:val="00B811FF"/>
    <w:rsid w:val="00B82764"/>
    <w:rsid w:val="00B830EC"/>
    <w:rsid w:val="00B92190"/>
    <w:rsid w:val="00B931BB"/>
    <w:rsid w:val="00B969FF"/>
    <w:rsid w:val="00BD0ED2"/>
    <w:rsid w:val="00BE0917"/>
    <w:rsid w:val="00BE09FA"/>
    <w:rsid w:val="00BE1FB2"/>
    <w:rsid w:val="00BF6A83"/>
    <w:rsid w:val="00C12EEB"/>
    <w:rsid w:val="00C306CF"/>
    <w:rsid w:val="00C37851"/>
    <w:rsid w:val="00C54AF9"/>
    <w:rsid w:val="00C60B40"/>
    <w:rsid w:val="00C70A88"/>
    <w:rsid w:val="00C74C61"/>
    <w:rsid w:val="00C7581D"/>
    <w:rsid w:val="00C75F6B"/>
    <w:rsid w:val="00C81572"/>
    <w:rsid w:val="00C84D5A"/>
    <w:rsid w:val="00C86B3D"/>
    <w:rsid w:val="00C92C7B"/>
    <w:rsid w:val="00C9510A"/>
    <w:rsid w:val="00C95BED"/>
    <w:rsid w:val="00C96B9D"/>
    <w:rsid w:val="00CB2FD5"/>
    <w:rsid w:val="00CB35AD"/>
    <w:rsid w:val="00CB380A"/>
    <w:rsid w:val="00CC1284"/>
    <w:rsid w:val="00CD3350"/>
    <w:rsid w:val="00CE3B8C"/>
    <w:rsid w:val="00CE442E"/>
    <w:rsid w:val="00CF19BD"/>
    <w:rsid w:val="00CF43D4"/>
    <w:rsid w:val="00CF5271"/>
    <w:rsid w:val="00D207D1"/>
    <w:rsid w:val="00D306A0"/>
    <w:rsid w:val="00D44C51"/>
    <w:rsid w:val="00D4759A"/>
    <w:rsid w:val="00D5664C"/>
    <w:rsid w:val="00D56E29"/>
    <w:rsid w:val="00D64E70"/>
    <w:rsid w:val="00D71875"/>
    <w:rsid w:val="00D723F6"/>
    <w:rsid w:val="00D74343"/>
    <w:rsid w:val="00D75EFE"/>
    <w:rsid w:val="00D77BAD"/>
    <w:rsid w:val="00D826A0"/>
    <w:rsid w:val="00D84560"/>
    <w:rsid w:val="00D90AD8"/>
    <w:rsid w:val="00DA3E0D"/>
    <w:rsid w:val="00DA494C"/>
    <w:rsid w:val="00DB10BA"/>
    <w:rsid w:val="00DC467D"/>
    <w:rsid w:val="00DC4768"/>
    <w:rsid w:val="00DC670E"/>
    <w:rsid w:val="00DF016C"/>
    <w:rsid w:val="00E0254B"/>
    <w:rsid w:val="00E068C0"/>
    <w:rsid w:val="00E0778F"/>
    <w:rsid w:val="00E12EEA"/>
    <w:rsid w:val="00E17DFA"/>
    <w:rsid w:val="00E17E7D"/>
    <w:rsid w:val="00E220E8"/>
    <w:rsid w:val="00E22700"/>
    <w:rsid w:val="00E2354C"/>
    <w:rsid w:val="00E3388E"/>
    <w:rsid w:val="00E342F9"/>
    <w:rsid w:val="00E34A1A"/>
    <w:rsid w:val="00E40145"/>
    <w:rsid w:val="00E406A0"/>
    <w:rsid w:val="00E40807"/>
    <w:rsid w:val="00E43F91"/>
    <w:rsid w:val="00E44EA0"/>
    <w:rsid w:val="00E46DFF"/>
    <w:rsid w:val="00E507B4"/>
    <w:rsid w:val="00E54CBD"/>
    <w:rsid w:val="00E6209B"/>
    <w:rsid w:val="00E6421F"/>
    <w:rsid w:val="00E71247"/>
    <w:rsid w:val="00E715DF"/>
    <w:rsid w:val="00E7290C"/>
    <w:rsid w:val="00E74988"/>
    <w:rsid w:val="00E773CF"/>
    <w:rsid w:val="00E815A1"/>
    <w:rsid w:val="00E8367F"/>
    <w:rsid w:val="00E875FB"/>
    <w:rsid w:val="00EB1C25"/>
    <w:rsid w:val="00EB3A89"/>
    <w:rsid w:val="00EB6C02"/>
    <w:rsid w:val="00ED141C"/>
    <w:rsid w:val="00EF40BD"/>
    <w:rsid w:val="00F064FA"/>
    <w:rsid w:val="00F2136B"/>
    <w:rsid w:val="00F330E3"/>
    <w:rsid w:val="00F456A2"/>
    <w:rsid w:val="00F546A5"/>
    <w:rsid w:val="00F567F1"/>
    <w:rsid w:val="00F62958"/>
    <w:rsid w:val="00F65436"/>
    <w:rsid w:val="00F726DB"/>
    <w:rsid w:val="00F7711C"/>
    <w:rsid w:val="00F7728F"/>
    <w:rsid w:val="00F84C25"/>
    <w:rsid w:val="00F91B5F"/>
    <w:rsid w:val="00F9218B"/>
    <w:rsid w:val="00F937AA"/>
    <w:rsid w:val="00FB460E"/>
    <w:rsid w:val="00FC2F52"/>
    <w:rsid w:val="00FE6894"/>
    <w:rsid w:val="00FE780E"/>
    <w:rsid w:val="00FF171F"/>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5FD28F9"/>
  <w15:docId w15:val="{A14F2B77-07C5-4422-959C-DC669231E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146D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E8367F"/>
    <w:pPr>
      <w:pBdr>
        <w:bottom w:val="single" w:sz="6" w:space="1" w:color="auto"/>
      </w:pBdr>
      <w:tabs>
        <w:tab w:val="center" w:pos="4153"/>
        <w:tab w:val="right" w:pos="8306"/>
      </w:tabs>
      <w:snapToGrid w:val="0"/>
      <w:jc w:val="center"/>
    </w:pPr>
    <w:rPr>
      <w:sz w:val="18"/>
      <w:szCs w:val="18"/>
    </w:rPr>
  </w:style>
  <w:style w:type="character" w:customStyle="1" w:styleId="a4">
    <w:name w:val="页眉 字符"/>
    <w:link w:val="a3"/>
    <w:uiPriority w:val="99"/>
    <w:locked/>
    <w:rsid w:val="00E8367F"/>
    <w:rPr>
      <w:rFonts w:cs="Times New Roman"/>
      <w:sz w:val="18"/>
      <w:szCs w:val="18"/>
    </w:rPr>
  </w:style>
  <w:style w:type="paragraph" w:styleId="a5">
    <w:name w:val="footer"/>
    <w:basedOn w:val="a"/>
    <w:link w:val="a6"/>
    <w:uiPriority w:val="99"/>
    <w:rsid w:val="00E8367F"/>
    <w:pPr>
      <w:tabs>
        <w:tab w:val="center" w:pos="4153"/>
        <w:tab w:val="right" w:pos="8306"/>
      </w:tabs>
      <w:snapToGrid w:val="0"/>
      <w:jc w:val="left"/>
    </w:pPr>
    <w:rPr>
      <w:sz w:val="18"/>
      <w:szCs w:val="18"/>
    </w:rPr>
  </w:style>
  <w:style w:type="character" w:customStyle="1" w:styleId="a6">
    <w:name w:val="页脚 字符"/>
    <w:link w:val="a5"/>
    <w:uiPriority w:val="99"/>
    <w:locked/>
    <w:rsid w:val="00E8367F"/>
    <w:rPr>
      <w:rFonts w:cs="Times New Roman"/>
      <w:sz w:val="18"/>
      <w:szCs w:val="18"/>
    </w:rPr>
  </w:style>
  <w:style w:type="paragraph" w:styleId="a7">
    <w:name w:val="List Paragraph"/>
    <w:basedOn w:val="a"/>
    <w:uiPriority w:val="99"/>
    <w:qFormat/>
    <w:rsid w:val="00E068C0"/>
    <w:pPr>
      <w:ind w:firstLineChars="200" w:firstLine="420"/>
    </w:pPr>
    <w:rPr>
      <w:rFonts w:cs="Calibri"/>
      <w:szCs w:val="21"/>
    </w:rPr>
  </w:style>
  <w:style w:type="paragraph" w:styleId="a8">
    <w:name w:val="Balloon Text"/>
    <w:basedOn w:val="a"/>
    <w:link w:val="a9"/>
    <w:uiPriority w:val="99"/>
    <w:semiHidden/>
    <w:rsid w:val="00372CC7"/>
    <w:rPr>
      <w:sz w:val="18"/>
      <w:szCs w:val="18"/>
    </w:rPr>
  </w:style>
  <w:style w:type="character" w:customStyle="1" w:styleId="a9">
    <w:name w:val="批注框文本 字符"/>
    <w:link w:val="a8"/>
    <w:uiPriority w:val="99"/>
    <w:semiHidden/>
    <w:locked/>
    <w:rsid w:val="00372CC7"/>
    <w:rPr>
      <w:rFonts w:cs="Times New Roman"/>
      <w:sz w:val="18"/>
      <w:szCs w:val="18"/>
    </w:rPr>
  </w:style>
  <w:style w:type="paragraph" w:customStyle="1" w:styleId="CharChar1Char">
    <w:name w:val="Char Char1 Char"/>
    <w:basedOn w:val="a"/>
    <w:uiPriority w:val="99"/>
    <w:semiHidden/>
    <w:rsid w:val="00AA617B"/>
    <w:pPr>
      <w:widowControl/>
      <w:spacing w:after="160" w:line="240" w:lineRule="exact"/>
      <w:jc w:val="left"/>
    </w:pPr>
    <w:rPr>
      <w:rFonts w:ascii="Verdana" w:hAnsi="Verdana"/>
      <w:kern w:val="0"/>
      <w:sz w:val="20"/>
      <w:szCs w:val="20"/>
      <w:lang w:eastAsia="en-US"/>
    </w:rPr>
  </w:style>
  <w:style w:type="paragraph" w:customStyle="1" w:styleId="CharChar2">
    <w:name w:val="Char Char2"/>
    <w:basedOn w:val="a"/>
    <w:uiPriority w:val="99"/>
    <w:semiHidden/>
    <w:rsid w:val="00CE3B8C"/>
    <w:pPr>
      <w:widowControl/>
      <w:spacing w:after="160" w:line="240" w:lineRule="exact"/>
      <w:jc w:val="left"/>
    </w:pPr>
    <w:rPr>
      <w:rFonts w:ascii="Verdana" w:hAnsi="Verdana"/>
      <w:kern w:val="0"/>
      <w:sz w:val="20"/>
      <w:szCs w:val="20"/>
      <w:lang w:eastAsia="en-US"/>
    </w:rPr>
  </w:style>
  <w:style w:type="paragraph" w:styleId="aa">
    <w:name w:val="Date"/>
    <w:basedOn w:val="a"/>
    <w:next w:val="a"/>
    <w:link w:val="ab"/>
    <w:uiPriority w:val="99"/>
    <w:semiHidden/>
    <w:rsid w:val="00A869CF"/>
    <w:pPr>
      <w:ind w:leftChars="2500" w:left="100"/>
    </w:pPr>
  </w:style>
  <w:style w:type="character" w:customStyle="1" w:styleId="ab">
    <w:name w:val="日期 字符"/>
    <w:link w:val="aa"/>
    <w:uiPriority w:val="99"/>
    <w:semiHidden/>
    <w:locked/>
    <w:rsid w:val="00A869C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234</TotalTime>
  <Pages>7</Pages>
  <Words>580</Words>
  <Characters>3308</Characters>
  <Application>Microsoft Office Word</Application>
  <DocSecurity>0</DocSecurity>
  <Lines>27</Lines>
  <Paragraphs>7</Paragraphs>
  <ScaleCrop>false</ScaleCrop>
  <Company/>
  <LinksUpToDate>false</LinksUpToDate>
  <CharactersWithSpaces>3881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中国人民大学2018年度</dc:title>
  <dc:subject/>
  <dc:creator>wxh</dc:creator>
  <cp:keywords/>
  <dc:description/>
  <cp:lastModifiedBy>龙 俊霖</cp:lastModifiedBy>
  <cp:revision>20</cp:revision>
  <cp:lastPrinted>2018-04-11T02:10:00Z</cp:lastPrinted>
  <dcterms:created xsi:type="dcterms:W3CDTF">2020-04-21T06:57:00Z</dcterms:created>
  <dcterms:modified xsi:type="dcterms:W3CDTF">2020-05-07T08:19:00Z</dcterms:modified>
</cp:coreProperties>
</file>