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中国人民大学2016年度</w:t>
      </w:r>
    </w:p>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企业财务会计决算财务情况说明书</w:t>
      </w:r>
    </w:p>
    <w:p w:rsidR="00516ED8" w:rsidRPr="00516ED8" w:rsidRDefault="00516ED8" w:rsidP="00516ED8">
      <w:pPr>
        <w:ind w:firstLineChars="200" w:firstLine="640"/>
        <w:rPr>
          <w:rFonts w:ascii="仿宋_GB2312" w:eastAsia="仿宋_GB2312" w:hAnsi="Times New Roman" w:cs="Times New Roman"/>
          <w:sz w:val="32"/>
          <w:szCs w:val="32"/>
        </w:rPr>
      </w:pP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根据教育部财务司《关于做好2016年度企业财务会计决算工作的通知》（</w:t>
      </w:r>
      <w:proofErr w:type="gramStart"/>
      <w:r w:rsidRPr="00516ED8">
        <w:rPr>
          <w:rFonts w:ascii="仿宋_GB2312" w:eastAsia="仿宋_GB2312" w:hAnsi="Times New Roman" w:cs="Times New Roman" w:hint="eastAsia"/>
          <w:sz w:val="28"/>
          <w:szCs w:val="28"/>
        </w:rPr>
        <w:t>教财司函</w:t>
      </w:r>
      <w:proofErr w:type="gramEnd"/>
      <w:r w:rsidRPr="00516ED8">
        <w:rPr>
          <w:rFonts w:ascii="仿宋_GB2312" w:eastAsia="仿宋_GB2312" w:hAnsi="Times New Roman" w:cs="Times New Roman" w:hint="eastAsia"/>
          <w:sz w:val="28"/>
          <w:szCs w:val="28"/>
        </w:rPr>
        <w:t>[2017]3号）要求，我校国资办向学校一级企业：人大资产经营管理公司（即</w:t>
      </w:r>
      <w:proofErr w:type="gramStart"/>
      <w:r w:rsidRPr="00516ED8">
        <w:rPr>
          <w:rFonts w:ascii="仿宋_GB2312" w:eastAsia="仿宋_GB2312" w:hAnsi="Times New Roman" w:cs="Times New Roman" w:hint="eastAsia"/>
          <w:sz w:val="28"/>
          <w:szCs w:val="28"/>
        </w:rPr>
        <w:t>人大世纪</w:t>
      </w:r>
      <w:proofErr w:type="gramEnd"/>
      <w:r w:rsidRPr="00516ED8">
        <w:rPr>
          <w:rFonts w:ascii="仿宋_GB2312" w:eastAsia="仿宋_GB2312" w:hAnsi="Times New Roman" w:cs="Times New Roman" w:hint="eastAsia"/>
          <w:sz w:val="28"/>
          <w:szCs w:val="28"/>
        </w:rPr>
        <w:t>科技发展有限公司，简称资产公司）、中国人民大学书报资料中心（企业化管理事业单位，简称书报中心）转发了通知，要求各企业以审计报告为依据上报企业合并财务数据以及合并范围内各子公司的单户财务数据。</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经汇总统计，我校2016年度纳入企业财务决算范围的各级企业共16家。我校对各级企业上报的报表数据进行了认真审核，从而确保上报数据的真实、完整。</w:t>
      </w:r>
    </w:p>
    <w:p w:rsidR="00516ED8" w:rsidRPr="00516ED8" w:rsidRDefault="00516ED8" w:rsidP="00516ED8">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一、基本情况</w:t>
      </w:r>
    </w:p>
    <w:p w:rsidR="00516ED8" w:rsidRPr="00516ED8" w:rsidRDefault="00516ED8" w:rsidP="00516ED8">
      <w:pPr>
        <w:ind w:firstLineChars="200" w:firstLine="562"/>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（一）编报范围</w:t>
      </w: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我校2016年度纳入企业财务会计决算报表编制范围的企业共16家，与上年一致，分别是：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160"/>
        <w:gridCol w:w="2160"/>
        <w:gridCol w:w="2654"/>
      </w:tblGrid>
      <w:tr w:rsidR="00516ED8" w:rsidRPr="00516ED8" w:rsidTr="00681A78">
        <w:tc>
          <w:tcPr>
            <w:tcW w:w="1298" w:type="dxa"/>
            <w:vAlign w:val="center"/>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一级企业</w:t>
            </w:r>
          </w:p>
        </w:tc>
        <w:tc>
          <w:tcPr>
            <w:tcW w:w="2160" w:type="dxa"/>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二级企业</w:t>
            </w:r>
          </w:p>
        </w:tc>
        <w:tc>
          <w:tcPr>
            <w:tcW w:w="2160" w:type="dxa"/>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三级企业</w:t>
            </w:r>
          </w:p>
        </w:tc>
        <w:tc>
          <w:tcPr>
            <w:tcW w:w="2654" w:type="dxa"/>
            <w:vAlign w:val="center"/>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备注</w:t>
            </w:r>
          </w:p>
        </w:tc>
      </w:tr>
      <w:tr w:rsidR="00516ED8" w:rsidRPr="00516ED8" w:rsidTr="00681A78">
        <w:tc>
          <w:tcPr>
            <w:tcW w:w="1298" w:type="dxa"/>
            <w:vMerge w:val="restart"/>
            <w:vAlign w:val="center"/>
          </w:tcPr>
          <w:p w:rsidR="00516ED8" w:rsidRPr="00516ED8" w:rsidRDefault="00516ED8" w:rsidP="00516ED8">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人大世纪</w:t>
            </w:r>
            <w:proofErr w:type="gramEnd"/>
            <w:r w:rsidRPr="00516ED8">
              <w:rPr>
                <w:rFonts w:ascii="宋体" w:eastAsia="宋体" w:hAnsi="宋体" w:cs="宋体" w:hint="eastAsia"/>
                <w:color w:val="000000"/>
                <w:kern w:val="0"/>
                <w:szCs w:val="21"/>
              </w:rPr>
              <w:t>科技发展有限公司（资产公司）</w:t>
            </w:r>
          </w:p>
        </w:tc>
        <w:tc>
          <w:tcPr>
            <w:tcW w:w="2160"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中国人民大学出版社有限公司</w:t>
            </w: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北京人大数字科技有限公司</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北京东方翰墨</w:t>
            </w:r>
            <w:proofErr w:type="gramStart"/>
            <w:r w:rsidRPr="00516ED8">
              <w:rPr>
                <w:rFonts w:ascii="宋体" w:eastAsia="宋体" w:hAnsi="宋体" w:cs="宋体" w:hint="eastAsia"/>
                <w:color w:val="000000"/>
                <w:kern w:val="0"/>
                <w:szCs w:val="21"/>
              </w:rPr>
              <w:t>林文化</w:t>
            </w:r>
            <w:proofErr w:type="gramEnd"/>
            <w:r w:rsidRPr="00516ED8">
              <w:rPr>
                <w:rFonts w:ascii="宋体" w:eastAsia="宋体" w:hAnsi="宋体" w:cs="宋体" w:hint="eastAsia"/>
                <w:color w:val="000000"/>
                <w:kern w:val="0"/>
                <w:szCs w:val="21"/>
              </w:rPr>
              <w:t>传播有限公司</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北京华文图发信息咨询有限公司</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北京人大文化科技园建设发展有限公司</w:t>
            </w: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北京人大文化科技企业孵化器有限公司</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tcPr>
          <w:p w:rsidR="00516ED8" w:rsidRPr="00516ED8" w:rsidRDefault="00516ED8" w:rsidP="00516ED8">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常熟人大</w:t>
            </w:r>
            <w:proofErr w:type="gramEnd"/>
            <w:r w:rsidRPr="00516ED8">
              <w:rPr>
                <w:rFonts w:ascii="宋体" w:eastAsia="宋体" w:hAnsi="宋体" w:cs="宋体" w:hint="eastAsia"/>
                <w:color w:val="000000"/>
                <w:kern w:val="0"/>
                <w:szCs w:val="21"/>
              </w:rPr>
              <w:t>文化科技有限公司</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北京世纪明德物业管理有限公司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北京世纪方兴商贸发展有限公司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苏州世纪明德文化科技园有限公司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黄山市黄山区世纪太平文化科技有限公司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81A78">
        <w:tc>
          <w:tcPr>
            <w:tcW w:w="1298"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中国人民大学书报资料中心（企业化管理事业单位）</w:t>
            </w: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人大数</w:t>
            </w:r>
            <w:proofErr w:type="gramStart"/>
            <w:r w:rsidRPr="00516ED8">
              <w:rPr>
                <w:rFonts w:ascii="宋体" w:eastAsia="宋体" w:hAnsi="宋体" w:cs="宋体" w:hint="eastAsia"/>
                <w:color w:val="000000"/>
                <w:kern w:val="0"/>
                <w:szCs w:val="21"/>
              </w:rPr>
              <w:t>媒</w:t>
            </w:r>
            <w:proofErr w:type="gramEnd"/>
            <w:r w:rsidRPr="00516ED8">
              <w:rPr>
                <w:rFonts w:ascii="宋体" w:eastAsia="宋体" w:hAnsi="宋体" w:cs="宋体" w:hint="eastAsia"/>
                <w:color w:val="000000"/>
                <w:kern w:val="0"/>
                <w:szCs w:val="21"/>
              </w:rPr>
              <w:t>科技（北京）有限公司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654" w:type="dxa"/>
            <w:vAlign w:val="center"/>
          </w:tcPr>
          <w:p w:rsidR="00516ED8" w:rsidRPr="00516ED8" w:rsidRDefault="00516ED8" w:rsidP="00516ED8">
            <w:pPr>
              <w:widowControl/>
              <w:rPr>
                <w:rFonts w:ascii="宋体" w:eastAsia="宋体" w:hAnsi="宋体" w:cs="宋体"/>
                <w:color w:val="000000"/>
                <w:kern w:val="0"/>
                <w:sz w:val="18"/>
                <w:szCs w:val="18"/>
              </w:rPr>
            </w:pPr>
            <w:r w:rsidRPr="00516ED8">
              <w:rPr>
                <w:rFonts w:ascii="宋体" w:eastAsia="宋体" w:hAnsi="宋体" w:cs="宋体" w:hint="eastAsia"/>
                <w:color w:val="000000"/>
                <w:kern w:val="0"/>
                <w:sz w:val="18"/>
                <w:szCs w:val="18"/>
              </w:rPr>
              <w:t>书报资料中心、</w:t>
            </w:r>
            <w:proofErr w:type="gramStart"/>
            <w:r w:rsidRPr="00516ED8">
              <w:rPr>
                <w:rFonts w:ascii="宋体" w:eastAsia="宋体" w:hAnsi="宋体" w:cs="宋体" w:hint="eastAsia"/>
                <w:color w:val="000000"/>
                <w:kern w:val="0"/>
                <w:sz w:val="18"/>
                <w:szCs w:val="18"/>
              </w:rPr>
              <w:t>人大世纪</w:t>
            </w:r>
            <w:proofErr w:type="gramEnd"/>
            <w:r w:rsidRPr="00516ED8">
              <w:rPr>
                <w:rFonts w:ascii="宋体" w:eastAsia="宋体" w:hAnsi="宋体" w:cs="宋体" w:hint="eastAsia"/>
                <w:color w:val="000000"/>
                <w:kern w:val="0"/>
                <w:sz w:val="18"/>
                <w:szCs w:val="18"/>
              </w:rPr>
              <w:t>科技发展有限公司及北京人大文化科技园建设发展有限公司分别出资1000万、800万和200万元</w:t>
            </w:r>
          </w:p>
        </w:tc>
      </w:tr>
      <w:tr w:rsidR="00516ED8" w:rsidRPr="00516ED8" w:rsidTr="00681A78">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北京市仁达书报资料咨询服务公司</w:t>
            </w: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北京市仁轩图书服务部</w:t>
            </w:r>
          </w:p>
        </w:tc>
        <w:tc>
          <w:tcPr>
            <w:tcW w:w="2654" w:type="dxa"/>
            <w:vAlign w:val="center"/>
          </w:tcPr>
          <w:p w:rsidR="00516ED8" w:rsidRPr="00516ED8" w:rsidRDefault="00516ED8" w:rsidP="00516ED8">
            <w:pPr>
              <w:widowControl/>
              <w:rPr>
                <w:rFonts w:ascii="宋体" w:eastAsia="宋体" w:hAnsi="宋体" w:cs="宋体"/>
                <w:color w:val="000000"/>
                <w:kern w:val="0"/>
                <w:sz w:val="28"/>
                <w:szCs w:val="28"/>
              </w:rPr>
            </w:pPr>
          </w:p>
        </w:tc>
      </w:tr>
    </w:tbl>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（二）会计准则执行情况</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资产公司2016年已重新修订印发了《人大世纪科技发展有限公司统一会计政策》，资产公司及下属合并范围内企业2017年起将执行《企业会计准则》；书报中心为企业化管理事业单位，目前仍执行企业会计制度。</w:t>
      </w:r>
    </w:p>
    <w:p w:rsidR="00516ED8" w:rsidRPr="00516ED8" w:rsidRDefault="00516ED8" w:rsidP="00516ED8">
      <w:pPr>
        <w:ind w:firstLineChars="200" w:firstLine="562"/>
        <w:rPr>
          <w:rFonts w:ascii="仿宋_GB2312" w:eastAsia="仿宋_GB2312" w:hAnsi="宋体" w:cs="Times New Roman"/>
          <w:b/>
          <w:sz w:val="28"/>
          <w:szCs w:val="28"/>
        </w:rPr>
      </w:pP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二、财务状况分析</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（一）企业总体财务情况</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Times New Roman" w:cs="Times New Roman" w:hint="eastAsia"/>
          <w:sz w:val="28"/>
          <w:szCs w:val="28"/>
        </w:rPr>
        <w:t>2016年底</w:t>
      </w:r>
      <w:r w:rsidRPr="00516ED8">
        <w:rPr>
          <w:rFonts w:ascii="仿宋_GB2312" w:eastAsia="仿宋_GB2312" w:hAnsi="宋体" w:cs="Times New Roman" w:hint="eastAsia"/>
          <w:sz w:val="28"/>
          <w:szCs w:val="28"/>
        </w:rPr>
        <w:t>我校各级企业财务总体情况如下：</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Times New Roman" w:cs="Times New Roman" w:hint="eastAsia"/>
          <w:sz w:val="28"/>
          <w:szCs w:val="28"/>
        </w:rPr>
        <w:t>资产总额138497万元，比期初125866万元增加12631万元，增长10.04 %。</w:t>
      </w:r>
      <w:r w:rsidRPr="00516ED8">
        <w:rPr>
          <w:rFonts w:ascii="仿宋_GB2312" w:eastAsia="仿宋_GB2312" w:hAnsi="宋体" w:cs="Times New Roman" w:hint="eastAsia"/>
          <w:sz w:val="28"/>
          <w:szCs w:val="28"/>
        </w:rPr>
        <w:t>其中，流动资产131082万元，占资产总额的94.65%；非流动资产7415万元，占资产总额的5.35%。</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负债</w:t>
      </w:r>
      <w:r w:rsidRPr="00516ED8">
        <w:rPr>
          <w:rFonts w:ascii="仿宋_GB2312" w:eastAsia="仿宋_GB2312" w:hAnsi="Times New Roman" w:cs="Times New Roman" w:hint="eastAsia"/>
          <w:sz w:val="28"/>
          <w:szCs w:val="28"/>
        </w:rPr>
        <w:t>总额</w:t>
      </w:r>
      <w:r w:rsidRPr="00516ED8">
        <w:rPr>
          <w:rFonts w:ascii="仿宋_GB2312" w:eastAsia="仿宋_GB2312" w:hAnsi="宋体" w:cs="Times New Roman" w:hint="eastAsia"/>
          <w:sz w:val="28"/>
          <w:szCs w:val="28"/>
        </w:rPr>
        <w:t>21093万元，比期初19006万元增加2087万元，增长10.98％。其中，流动负债15183万元，占负债总额的71.98%；非流动负债5909万元（主要为资产公司子公司出版社和文化科技园公司申请获得的各种专项</w:t>
      </w:r>
      <w:r w:rsidRPr="00516ED8">
        <w:rPr>
          <w:rFonts w:ascii="仿宋_GB2312" w:eastAsia="仿宋_GB2312" w:hAnsi="宋体" w:cs="Times New Roman" w:hint="eastAsia"/>
          <w:sz w:val="28"/>
          <w:szCs w:val="28"/>
        </w:rPr>
        <w:lastRenderedPageBreak/>
        <w:t>经费），占负债总额的28.01%。</w:t>
      </w:r>
    </w:p>
    <w:p w:rsidR="00767CCD" w:rsidRDefault="00516ED8" w:rsidP="00767CCD">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所有者权益总额117404万元；比期初106860万元增加10544万元，增长9.87％。</w:t>
      </w:r>
    </w:p>
    <w:p w:rsidR="00767CCD" w:rsidRPr="00767CCD" w:rsidRDefault="00767CCD" w:rsidP="00767CCD">
      <w:pPr>
        <w:ind w:firstLineChars="200" w:firstLine="560"/>
        <w:rPr>
          <w:rFonts w:ascii="仿宋_GB2312" w:eastAsia="仿宋_GB2312" w:hAnsi="宋体" w:cs="Times New Roman"/>
          <w:sz w:val="28"/>
          <w:szCs w:val="28"/>
        </w:rPr>
      </w:pPr>
      <w:r w:rsidRPr="00767CCD">
        <w:rPr>
          <w:rFonts w:ascii="仿宋_GB2312" w:eastAsia="仿宋_GB2312" w:hAnsi="宋体" w:cs="Times New Roman" w:hint="eastAsia"/>
          <w:sz w:val="28"/>
          <w:szCs w:val="28"/>
        </w:rPr>
        <w:t>所有者权益变动情况中，资产公司本年专项资金购入固定资产净减少资本公积0.9万元、未分配利润变动136.15元为资产公司子公司文化科技园公司报废专项资金购置的固定资产已计提折旧金额。</w:t>
      </w:r>
    </w:p>
    <w:p w:rsidR="00516ED8" w:rsidRPr="00516ED8" w:rsidRDefault="00516ED8" w:rsidP="00767CCD">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（二）资产负债类科目主要变动原因分析</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 xml:space="preserve">1、货币资金: </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货币资金94603万元，比期初80651万元增长13952万元，其中：资产公司货币资金增长15014万元，书报中心货币资金减少1062万元。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——资产公司货币资金增长15014万元，主要原因为：</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（1）经营活动产生的现金流量净增加14356万元。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2）投资活动产生的现金流量净增加2574万元，主要为：①资产公司转让CHINAEU公司股权收回投资13.52万元，获得投资收益2744.37万元；②出版社获得广东新华发行集团股份有限公司利润分配4.2万元；③资产公司及各子公司购入固定资产、无形资产现金流出188.40万元（</w:t>
      </w:r>
      <w:r w:rsidR="0089244D">
        <w:rPr>
          <w:rFonts w:ascii="仿宋_GB2312" w:eastAsia="仿宋_GB2312" w:hAnsi="Times New Roman" w:cs="Times New Roman" w:hint="eastAsia"/>
          <w:sz w:val="28"/>
          <w:szCs w:val="28"/>
        </w:rPr>
        <w:t>主要有：</w:t>
      </w:r>
      <w:r w:rsidRPr="00516ED8">
        <w:rPr>
          <w:rFonts w:ascii="仿宋_GB2312" w:eastAsia="仿宋_GB2312" w:hAnsi="Times New Roman" w:cs="Times New Roman" w:hint="eastAsia"/>
          <w:sz w:val="28"/>
          <w:szCs w:val="28"/>
        </w:rPr>
        <w:t>资产公司购置用于投资</w:t>
      </w:r>
      <w:proofErr w:type="gramStart"/>
      <w:r w:rsidRPr="00516ED8">
        <w:rPr>
          <w:rFonts w:ascii="仿宋_GB2312" w:eastAsia="仿宋_GB2312" w:hAnsi="Times New Roman" w:cs="Times New Roman" w:hint="eastAsia"/>
          <w:sz w:val="28"/>
          <w:szCs w:val="28"/>
        </w:rPr>
        <w:t>尚川水务</w:t>
      </w:r>
      <w:proofErr w:type="gramEnd"/>
      <w:r w:rsidRPr="00516ED8">
        <w:rPr>
          <w:rFonts w:ascii="仿宋_GB2312" w:eastAsia="仿宋_GB2312" w:hAnsi="Times New Roman" w:cs="Times New Roman" w:hint="eastAsia"/>
          <w:sz w:val="28"/>
          <w:szCs w:val="28"/>
        </w:rPr>
        <w:t>公司的学校无形资产50万元、出版社购置固定资产51万元、苏州文化科技园公司购置固定资产32万元、文化科技园公司购置固定资产23万元）。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（3）筹资活动产生的现金流量净减少1,927.25万元，主要为资产公司上交财政部2015年度国有资本收益827.25万元，向中国人民大学进行分配利润1,100万元。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lastRenderedPageBreak/>
        <w:t>——书报中心货币资金减少1062万元，主要原因是2016年支付了租用文化大厦的房租。</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2、以公允价值计量且其变动计入当期损益的金融资产：</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以公允价值计量且其变动计入当期损益的金融资产1587万元，比期初3089.37万元减少1502.37万元，原因是书报中心持有的股票类金融资产市值减少所致。其中：</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书报中心持有的中国高科（股票代码600730）年末市值1548.75万元，比上年减少1485.49万元，仁达公司持有的东方航空（股票代码600115）年末市值9.33万元，比上年增加0.12万元，综艺股份（股票代码600770）年末市值28.29万元，比上年减少16.66万元，中远海控（股票代码601919）年末市值0.63万元，比上年减少0.34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3、应收账款、预付账款、其他应收款：</w:t>
      </w:r>
    </w:p>
    <w:p w:rsidR="00516ED8" w:rsidRPr="00516ED8" w:rsidRDefault="00516ED8" w:rsidP="00516ED8">
      <w:pPr>
        <w:ind w:firstLineChars="200" w:firstLine="560"/>
        <w:rPr>
          <w:rFonts w:ascii="仿宋_GB2312" w:eastAsia="仿宋_GB2312" w:hAnsi="Times New Roman" w:cs="Times New Roman"/>
          <w:color w:val="FF0000"/>
          <w:sz w:val="28"/>
          <w:szCs w:val="28"/>
        </w:rPr>
      </w:pPr>
      <w:r w:rsidRPr="00516ED8">
        <w:rPr>
          <w:rFonts w:ascii="仿宋_GB2312" w:eastAsia="仿宋_GB2312" w:hAnsi="Times New Roman" w:cs="Times New Roman" w:hint="eastAsia"/>
          <w:sz w:val="28"/>
          <w:szCs w:val="28"/>
        </w:rPr>
        <w:t>应收账款6459万元，比期初4773万元增加1686万元，其中资产公司增加1627万元（主要为出版社增加1,442.3</w:t>
      </w:r>
      <w:r w:rsidRPr="00516ED8">
        <w:rPr>
          <w:rFonts w:ascii="仿宋" w:eastAsia="仿宋" w:hAnsi="仿宋" w:cs="仿宋" w:hint="eastAsia"/>
          <w:color w:val="000000"/>
          <w:kern w:val="0"/>
          <w:sz w:val="28"/>
          <w:szCs w:val="28"/>
          <w:lang w:bidi="ar"/>
        </w:rPr>
        <w:t>6万元，属正常经营所</w:t>
      </w:r>
      <w:r w:rsidRPr="00516ED8">
        <w:rPr>
          <w:rFonts w:ascii="仿宋_GB2312" w:eastAsia="仿宋_GB2312" w:hAnsi="Times New Roman" w:cs="Times New Roman" w:hint="eastAsia"/>
          <w:sz w:val="28"/>
          <w:szCs w:val="28"/>
        </w:rPr>
        <w:t>致）、书报中心增加59万元。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预付账款309万元，比期初197万元增加112万元，其中资产公司增加82万元、书报中心增加31万元。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其他应收款801万元，比期初641万元增加160万元，其中资产公司增加4万元、书报中心增加156万元。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4、应收利息：</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应收利息412.5万元，比期初165万元增加247.5万元，为资产公司子公司出版社2016年新增加应收招商银行智能定期存款利息。</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lastRenderedPageBreak/>
        <w:t>5、存货：</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存货23487万元，比期初28340万元减少4853万元，其中：资产公司存货减少5471万元，主要由于资产公司子公司出版社致力于提高单品种效益、控制印制规模减少5505万元所致；书报中心增加619万元，原因为书报中心大量采购了纸张导致。</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6、其他流动资产：</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其他流动资产3423万元，比期初783万元增加2640万元，主要为资产公司子公司出版社201年支付新租库房租金形成的待摊费用所致。</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7、可供出售金融资产</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可供出售金融资产455.53万元，与期初保持一致，主要为资产公司2015年无偿划入学校持有中国高科股份有限公司的174.50万股股票，按照划转基准日所对应的净资产值进行划转，该项资产价值455.53万元。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8、长期股权投资</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长期股权投资4211万元，比期初减少13万元，主要为资产公司2016年转让CHINAEU公司股权收回原始投资13.52万元。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9、无形资产、开发支出</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无形资产1561万元，比期初848万元增加713万元，主要为书报中心无形资产增加708万元所致。书报中心下属</w:t>
      </w:r>
      <w:proofErr w:type="gramStart"/>
      <w:r w:rsidRPr="00516ED8">
        <w:rPr>
          <w:rFonts w:ascii="仿宋_GB2312" w:eastAsia="仿宋_GB2312" w:hAnsi="宋体" w:cs="Times New Roman" w:hint="eastAsia"/>
          <w:sz w:val="28"/>
          <w:szCs w:val="28"/>
        </w:rPr>
        <w:t>数媒公司</w:t>
      </w:r>
      <w:proofErr w:type="gramEnd"/>
      <w:r w:rsidRPr="00516ED8">
        <w:rPr>
          <w:rFonts w:ascii="仿宋_GB2312" w:eastAsia="仿宋_GB2312" w:hAnsi="宋体" w:cs="Times New Roman" w:hint="eastAsia"/>
          <w:sz w:val="28"/>
          <w:szCs w:val="28"/>
        </w:rPr>
        <w:t>开发的学者在线、《复印报刊资料》发布平台、</w:t>
      </w:r>
      <w:proofErr w:type="gramStart"/>
      <w:r w:rsidRPr="00516ED8">
        <w:rPr>
          <w:rFonts w:ascii="仿宋_GB2312" w:eastAsia="仿宋_GB2312" w:hAnsi="宋体" w:cs="Times New Roman" w:hint="eastAsia"/>
          <w:sz w:val="28"/>
          <w:szCs w:val="28"/>
        </w:rPr>
        <w:t>壹学者</w:t>
      </w:r>
      <w:proofErr w:type="gramEnd"/>
      <w:r w:rsidRPr="00516ED8">
        <w:rPr>
          <w:rFonts w:ascii="仿宋_GB2312" w:eastAsia="仿宋_GB2312" w:hAnsi="宋体" w:cs="Times New Roman" w:hint="eastAsia"/>
          <w:sz w:val="28"/>
          <w:szCs w:val="28"/>
        </w:rPr>
        <w:t>三个项目年初开发支出572.36万元以及本年发生的开发支出180.31万元总计752.67万元完成后转入无形资产。</w:t>
      </w:r>
    </w:p>
    <w:p w:rsidR="001D24D7" w:rsidRPr="001D24D7" w:rsidRDefault="001D24D7" w:rsidP="001D24D7">
      <w:pPr>
        <w:ind w:firstLineChars="200" w:firstLine="560"/>
        <w:rPr>
          <w:rFonts w:ascii="仿宋_GB2312" w:eastAsia="仿宋_GB2312" w:hAnsi="Times New Roman" w:cs="Times New Roman"/>
          <w:color w:val="FF0000"/>
          <w:sz w:val="28"/>
          <w:szCs w:val="28"/>
        </w:rPr>
      </w:pPr>
      <w:r w:rsidRPr="001D24D7">
        <w:rPr>
          <w:rFonts w:ascii="仿宋_GB2312" w:eastAsia="仿宋_GB2312" w:hAnsi="宋体" w:cs="Times New Roman" w:hint="eastAsia"/>
          <w:sz w:val="28"/>
          <w:szCs w:val="28"/>
        </w:rPr>
        <w:t>开发支出102万元为书报中心信息化、数字化建设本期支出金额，减</w:t>
      </w:r>
      <w:r w:rsidRPr="001D24D7">
        <w:rPr>
          <w:rFonts w:ascii="仿宋_GB2312" w:eastAsia="仿宋_GB2312" w:hAnsi="宋体" w:cs="Times New Roman" w:hint="eastAsia"/>
          <w:sz w:val="28"/>
          <w:szCs w:val="28"/>
        </w:rPr>
        <w:lastRenderedPageBreak/>
        <w:t>少的572.36万元为数</w:t>
      </w:r>
      <w:proofErr w:type="gramStart"/>
      <w:r w:rsidRPr="001D24D7">
        <w:rPr>
          <w:rFonts w:ascii="仿宋_GB2312" w:eastAsia="仿宋_GB2312" w:hAnsi="宋体" w:cs="Times New Roman" w:hint="eastAsia"/>
          <w:sz w:val="28"/>
          <w:szCs w:val="28"/>
        </w:rPr>
        <w:t>媒</w:t>
      </w:r>
      <w:proofErr w:type="gramEnd"/>
      <w:r w:rsidRPr="001D24D7">
        <w:rPr>
          <w:rFonts w:ascii="仿宋_GB2312" w:eastAsia="仿宋_GB2312" w:hAnsi="宋体" w:cs="Times New Roman" w:hint="eastAsia"/>
          <w:sz w:val="28"/>
          <w:szCs w:val="28"/>
        </w:rPr>
        <w:t>公司上述三个项目的开发支出今年转入无形资产。</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10、专项应付款</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专项应付款增加1308万元，主要为资产公司子公司出版社和文化科技园公司获得专项资金所致。</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11、递延收益</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递延收益增加313万元，其中资产公司增加245万元，书报中心增加68万元。资产公司主要为其子公司出版社获得“中国问题研究文献出版目录及服务”等项目资金致使递延收益发生变动。书报中心主要因为下属</w:t>
      </w:r>
      <w:proofErr w:type="gramStart"/>
      <w:r w:rsidRPr="00516ED8">
        <w:rPr>
          <w:rFonts w:ascii="仿宋_GB2312" w:eastAsia="仿宋_GB2312" w:hAnsi="宋体" w:cs="Times New Roman" w:hint="eastAsia"/>
          <w:sz w:val="28"/>
          <w:szCs w:val="28"/>
        </w:rPr>
        <w:t>数媒公司</w:t>
      </w:r>
      <w:proofErr w:type="gramEnd"/>
      <w:r w:rsidRPr="00516ED8">
        <w:rPr>
          <w:rFonts w:ascii="仿宋_GB2312" w:eastAsia="仿宋_GB2312" w:hAnsi="宋体" w:cs="Times New Roman" w:hint="eastAsia"/>
          <w:sz w:val="28"/>
          <w:szCs w:val="28"/>
        </w:rPr>
        <w:t>收到的北京市文化创意产业发展专项资金奖励，该项资金主要用于项目技术研发、设备购置、升级改造等与文化创意产业发展密切相关的支出，需在数</w:t>
      </w:r>
      <w:proofErr w:type="gramStart"/>
      <w:r w:rsidRPr="00516ED8">
        <w:rPr>
          <w:rFonts w:ascii="仿宋_GB2312" w:eastAsia="仿宋_GB2312" w:hAnsi="宋体" w:cs="Times New Roman" w:hint="eastAsia"/>
          <w:sz w:val="28"/>
          <w:szCs w:val="28"/>
        </w:rPr>
        <w:t>媒</w:t>
      </w:r>
      <w:proofErr w:type="gramEnd"/>
      <w:r w:rsidRPr="00516ED8">
        <w:rPr>
          <w:rFonts w:ascii="仿宋_GB2312" w:eastAsia="仿宋_GB2312" w:hAnsi="宋体" w:cs="Times New Roman" w:hint="eastAsia"/>
          <w:sz w:val="28"/>
          <w:szCs w:val="28"/>
        </w:rPr>
        <w:t>公司通过北京市国有文化资产监督管理办公室组织的绩效评价后方可使用。</w:t>
      </w:r>
    </w:p>
    <w:p w:rsidR="00516ED8" w:rsidRPr="00516ED8" w:rsidRDefault="00516ED8" w:rsidP="00516ED8">
      <w:pPr>
        <w:ind w:firstLineChars="196" w:firstLine="551"/>
        <w:rPr>
          <w:rFonts w:ascii="仿宋_GB2312" w:eastAsia="仿宋_GB2312" w:hAnsi="Times New Roman" w:cs="Times New Roman"/>
          <w:b/>
          <w:sz w:val="28"/>
          <w:szCs w:val="28"/>
        </w:rPr>
      </w:pPr>
    </w:p>
    <w:p w:rsidR="00516ED8" w:rsidRPr="00516ED8" w:rsidRDefault="00516ED8" w:rsidP="00516ED8">
      <w:pPr>
        <w:ind w:firstLineChars="196" w:firstLine="551"/>
        <w:rPr>
          <w:rFonts w:ascii="仿宋_GB2312" w:eastAsia="仿宋_GB2312" w:hAnsi="Times New Roman" w:cs="Times New Roman"/>
          <w:sz w:val="28"/>
          <w:szCs w:val="28"/>
        </w:rPr>
      </w:pPr>
      <w:r w:rsidRPr="00516ED8">
        <w:rPr>
          <w:rFonts w:ascii="仿宋_GB2312" w:eastAsia="仿宋_GB2312" w:hAnsi="Times New Roman" w:cs="Times New Roman" w:hint="eastAsia"/>
          <w:b/>
          <w:sz w:val="28"/>
          <w:szCs w:val="28"/>
        </w:rPr>
        <w:t>三、经营成果分析</w:t>
      </w:r>
    </w:p>
    <w:p w:rsidR="00516ED8" w:rsidRPr="00516ED8" w:rsidRDefault="00516ED8" w:rsidP="00516ED8">
      <w:pPr>
        <w:ind w:firstLine="645"/>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1、营业总收入</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2016年度我校企业取得营业总收入68722万元，比上年59982万元增加8740万元，增长14.57％。其中：资产公司营业总收入60769万元，比上年53007万元增长7762万元，增长14.64%；书报中心营业总收入7953万元比上年6975万元增长978万元，增长14.02%。</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资产公司营业总收入增长7762万元，主要为子公司出版社营业总收入增长5818万元（由于本年度图书产品市场反应较好）、文化科技园公司增长694万元（由于物业管理及相关服务收入有所增加所致）、明德物业</w:t>
      </w:r>
      <w:r w:rsidRPr="00516ED8">
        <w:rPr>
          <w:rFonts w:ascii="仿宋_GB2312" w:eastAsia="仿宋_GB2312" w:hAnsi="宋体" w:cs="Times New Roman" w:hint="eastAsia"/>
          <w:sz w:val="28"/>
          <w:szCs w:val="28"/>
        </w:rPr>
        <w:lastRenderedPageBreak/>
        <w:t>公司增长950万元（由于世纪明德物业管理场馆面积增加）所致。</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书报中心营业总收入增长978万元，主要是由于刊物销售量增加和单价上涨共同作用的结果。</w:t>
      </w:r>
    </w:p>
    <w:p w:rsidR="00516ED8" w:rsidRPr="00516ED8" w:rsidRDefault="00516ED8" w:rsidP="00516ED8">
      <w:pPr>
        <w:ind w:firstLineChars="196" w:firstLine="551"/>
        <w:rPr>
          <w:rFonts w:ascii="仿宋_GB2312" w:eastAsia="仿宋_GB2312" w:hAnsi="宋体" w:cs="Times New Roman"/>
          <w:sz w:val="28"/>
          <w:szCs w:val="28"/>
        </w:rPr>
      </w:pPr>
      <w:r w:rsidRPr="00516ED8">
        <w:rPr>
          <w:rFonts w:ascii="仿宋_GB2312" w:eastAsia="仿宋_GB2312" w:hAnsi="宋体" w:cs="Times New Roman" w:hint="eastAsia"/>
          <w:b/>
          <w:sz w:val="28"/>
          <w:szCs w:val="28"/>
        </w:rPr>
        <w:t>2、成本费用等情况</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2016年度我校企业发生营业总成本59802万元，比上年55246万元增加4556万元，增长8.25％。其中：</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 xml:space="preserve">营业成本41422万元，占营业总成本的69.26%，比上年36816万元增加4606万元，增长12.51％； </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营业税金及附加639万元，受年度内“营改增”政策影响比上年845万元减少206万元；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销售费用7904万元，占营业总成本的13.22%，比上年7642万元增加262万元，增长3.43％；</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管理费用11932万元，占营业总成本的19.95%，比上年10990万元增加942万元，增长8.57％。其中：资产公司增加1622万元，书报中心减少680万元。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——资产公司增加的1622万元管理费用主要由于出版社管理费用增加1,325.79万元，其中职工薪</w:t>
      </w:r>
      <w:proofErr w:type="gramStart"/>
      <w:r w:rsidRPr="00516ED8">
        <w:rPr>
          <w:rFonts w:ascii="仿宋_GB2312" w:eastAsia="仿宋_GB2312" w:hAnsi="宋体" w:cs="Times New Roman" w:hint="eastAsia"/>
          <w:sz w:val="28"/>
          <w:szCs w:val="28"/>
        </w:rPr>
        <w:t>酬</w:t>
      </w:r>
      <w:proofErr w:type="gramEnd"/>
      <w:r w:rsidRPr="00516ED8">
        <w:rPr>
          <w:rFonts w:ascii="仿宋_GB2312" w:eastAsia="仿宋_GB2312" w:hAnsi="宋体" w:cs="Times New Roman" w:hint="eastAsia"/>
          <w:sz w:val="28"/>
          <w:szCs w:val="28"/>
        </w:rPr>
        <w:t>增加554万元，计提坏账准备增加340万元，其他相关费用增加400余万元。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——书报中心减少的680万元管理费用主要由于房租物业费（退掉部分办公空间）减少455万元，广告宣传费减少105万元。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资产减值损失本年转回103万元，为书报中心转回的存货跌价准备，主要原因是上年按照财务规定对过期刊按比例计提了跌价准备，本年度销</w:t>
      </w:r>
      <w:r w:rsidRPr="00516ED8">
        <w:rPr>
          <w:rFonts w:ascii="仿宋_GB2312" w:eastAsia="仿宋_GB2312" w:hAnsi="宋体" w:cs="Times New Roman" w:hint="eastAsia"/>
          <w:sz w:val="28"/>
          <w:szCs w:val="28"/>
        </w:rPr>
        <w:lastRenderedPageBreak/>
        <w:t>售了大量的过期刊，所以相应地转回了跌价准备。书报中心2015年开始首次按比例计提所有往年刊的减值，计入资产减值损失（存货跌价准备），2015年计提539万元，2016年销售了大量过期刊，按与上年同样的计提比例测算后，减值额减少，故本年转回资产减值损失103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公允价值变动收益2016年-1412万元，因股票市场低落，年度内持有的各项股票公允价值变动导致损失1411.57万元。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投资收益3457万元，其中资产公司投资收益2748万元，主要为本年度资产公司转让持有CHINAEU公司的股权共获得投资收益2,744.37万元。书报中心投资收益708万元，为本年度内书报中心出售持有的中国高科股票（共持有1740816股，转让490816股，还剩余1250000股）取得投资收益708.36万元。</w:t>
      </w:r>
    </w:p>
    <w:p w:rsidR="00516ED8" w:rsidRPr="00516ED8" w:rsidRDefault="00516ED8" w:rsidP="00516ED8">
      <w:pPr>
        <w:ind w:firstLineChars="196" w:firstLine="549"/>
        <w:rPr>
          <w:rFonts w:ascii="仿宋_GB2312" w:eastAsia="仿宋_GB2312" w:hAnsi="宋体" w:cs="Times New Roman"/>
          <w:sz w:val="28"/>
          <w:szCs w:val="28"/>
        </w:rPr>
      </w:pPr>
      <w:r w:rsidRPr="00516ED8">
        <w:rPr>
          <w:rFonts w:ascii="仿宋_GB2312" w:eastAsia="仿宋_GB2312" w:hAnsi="宋体" w:cs="Times New Roman" w:hint="eastAsia"/>
          <w:sz w:val="28"/>
          <w:szCs w:val="28"/>
        </w:rPr>
        <w:t>营业外收入2940万元，其中资产公司营业外收入为1,977万元，主要为出版社增值税退税1405.21万元、文</w:t>
      </w:r>
      <w:proofErr w:type="gramStart"/>
      <w:r w:rsidRPr="00516ED8">
        <w:rPr>
          <w:rFonts w:ascii="仿宋_GB2312" w:eastAsia="仿宋_GB2312" w:hAnsi="宋体" w:cs="Times New Roman" w:hint="eastAsia"/>
          <w:sz w:val="28"/>
          <w:szCs w:val="28"/>
        </w:rPr>
        <w:t>创资金递</w:t>
      </w:r>
      <w:proofErr w:type="gramEnd"/>
      <w:r w:rsidRPr="00516ED8">
        <w:rPr>
          <w:rFonts w:ascii="仿宋_GB2312" w:eastAsia="仿宋_GB2312" w:hAnsi="宋体" w:cs="Times New Roman" w:hint="eastAsia"/>
          <w:sz w:val="28"/>
          <w:szCs w:val="28"/>
        </w:rPr>
        <w:t>延收益结转454.97万元。书报中心963万元，其中历年稿费结余结转498.5万元，本年取得补贴收入451万元（书报中心取得的增值税先征后</w:t>
      </w:r>
      <w:proofErr w:type="gramStart"/>
      <w:r w:rsidRPr="00516ED8">
        <w:rPr>
          <w:rFonts w:ascii="仿宋_GB2312" w:eastAsia="仿宋_GB2312" w:hAnsi="宋体" w:cs="Times New Roman" w:hint="eastAsia"/>
          <w:sz w:val="28"/>
          <w:szCs w:val="28"/>
        </w:rPr>
        <w:t>返收入</w:t>
      </w:r>
      <w:proofErr w:type="gramEnd"/>
      <w:r w:rsidRPr="00516ED8">
        <w:rPr>
          <w:rFonts w:ascii="仿宋_GB2312" w:eastAsia="仿宋_GB2312" w:hAnsi="宋体" w:cs="Times New Roman" w:hint="eastAsia"/>
          <w:sz w:val="28"/>
          <w:szCs w:val="28"/>
        </w:rPr>
        <w:t>151万元，</w:t>
      </w:r>
      <w:proofErr w:type="gramStart"/>
      <w:r w:rsidRPr="00516ED8">
        <w:rPr>
          <w:rFonts w:ascii="仿宋_GB2312" w:eastAsia="仿宋_GB2312" w:hAnsi="宋体" w:cs="Times New Roman" w:hint="eastAsia"/>
          <w:sz w:val="28"/>
          <w:szCs w:val="28"/>
        </w:rPr>
        <w:t>数媒公司</w:t>
      </w:r>
      <w:proofErr w:type="gramEnd"/>
      <w:r w:rsidRPr="00516ED8">
        <w:rPr>
          <w:rFonts w:ascii="仿宋_GB2312" w:eastAsia="仿宋_GB2312" w:hAnsi="宋体" w:cs="Times New Roman" w:hint="eastAsia"/>
          <w:sz w:val="28"/>
          <w:szCs w:val="28"/>
        </w:rPr>
        <w:t>取得文化产业专项资金300万元）。</w:t>
      </w:r>
    </w:p>
    <w:p w:rsidR="00516ED8" w:rsidRPr="00516ED8" w:rsidRDefault="00516ED8" w:rsidP="00516ED8">
      <w:pPr>
        <w:ind w:firstLineChars="196" w:firstLine="551"/>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3、利润情况</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2016年度我校企业实现利润总额13881万元，比上年9420万元增加4461万元。其中，资产公司13327万元，比上年9735增加3592万元；书报中心554万元，比上年-315万元增加869万元。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2016年度我校企业净利润12472万元，比上年8955万元增加3517万元。其中，资产公司11926万元，比上年9270万元增加2656万元；书</w:t>
      </w:r>
      <w:r w:rsidRPr="00516ED8">
        <w:rPr>
          <w:rFonts w:ascii="仿宋_GB2312" w:eastAsia="仿宋_GB2312" w:hAnsi="宋体" w:cs="Times New Roman" w:hint="eastAsia"/>
          <w:sz w:val="28"/>
          <w:szCs w:val="28"/>
        </w:rPr>
        <w:lastRenderedPageBreak/>
        <w:t>报中心546万元，比上年-315万元增加861万元。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资产公司、书报中心利润变动情况具体如下：</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w:t>
      </w: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资产公司利润增加主要原因为：出版社本年净利润7749万元，比上年同期增加768万元，增加11.00%；文化科技园本年净利润1218万元，比上年同期增加317万元，增加35.25%；世纪明德本年净利润829万元，比上年同期增加373万元，增加81.80%；资产公司转让持有CHINAEU公司的股权共获得投资收益2,744万元。</w:t>
      </w: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——书报中心：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Times New Roman" w:cs="Times New Roman" w:hint="eastAsia"/>
          <w:sz w:val="28"/>
          <w:szCs w:val="28"/>
        </w:rPr>
        <w:t>书报中心利润增加的原因为：</w:t>
      </w:r>
      <w:proofErr w:type="gramStart"/>
      <w:r w:rsidRPr="00516ED8">
        <w:rPr>
          <w:rFonts w:ascii="仿宋_GB2312" w:eastAsia="仿宋_GB2312" w:hAnsi="Times New Roman" w:cs="Times New Roman" w:hint="eastAsia"/>
          <w:sz w:val="28"/>
          <w:szCs w:val="28"/>
        </w:rPr>
        <w:t>数媒公司</w:t>
      </w:r>
      <w:proofErr w:type="gramEnd"/>
      <w:r w:rsidRPr="00516ED8">
        <w:rPr>
          <w:rFonts w:ascii="仿宋_GB2312" w:eastAsia="仿宋_GB2312" w:hAnsi="Times New Roman" w:cs="Times New Roman" w:hint="eastAsia"/>
          <w:sz w:val="28"/>
          <w:szCs w:val="28"/>
        </w:rPr>
        <w:t>在2016年扭亏为盈，其净利润比上年增加了870.94万元，增加的原因是公司获得政府项目资金支持的增加和成本费用的减少，其中营业外收入增加223.12万元，主要为北京市新闻出版广电局（56万元）和2016年文化产业发展专项资金（300万元）的政府补助收入；营业总成本减少675.16万元，其中，营业成本减少310.98万元，主要为控制总分包成本减少近200万元；管理费用减少307.66万元，主要为广告宣传费减少105万元，办公费中退掉一半办公用房导致的房租减少80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4、亏损企业情况</w:t>
      </w:r>
    </w:p>
    <w:p w:rsidR="00516ED8" w:rsidRPr="00516ED8" w:rsidRDefault="00516ED8" w:rsidP="00516ED8">
      <w:pPr>
        <w:autoSpaceDE w:val="0"/>
        <w:autoSpaceDN w:val="0"/>
        <w:adjustRightInd w:val="0"/>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2016年我校企业亏损户数为2家，为</w:t>
      </w:r>
      <w:r w:rsidRPr="00516ED8">
        <w:rPr>
          <w:rFonts w:ascii="仿宋_GB2312" w:eastAsia="仿宋_GB2312" w:hAnsi="Times New Roman" w:cs="Times New Roman" w:hint="eastAsia"/>
          <w:sz w:val="28"/>
          <w:szCs w:val="28"/>
        </w:rPr>
        <w:t>书报中心下属子公司</w:t>
      </w:r>
      <w:r w:rsidRPr="00516ED8">
        <w:rPr>
          <w:rFonts w:ascii="仿宋_GB2312" w:eastAsia="仿宋_GB2312" w:hAnsi="宋体" w:cs="Times New Roman" w:hint="eastAsia"/>
          <w:sz w:val="28"/>
          <w:szCs w:val="28"/>
        </w:rPr>
        <w:t>北京市仁达书报资料咨询服务公司和</w:t>
      </w:r>
      <w:proofErr w:type="gramStart"/>
      <w:r w:rsidRPr="00516ED8">
        <w:rPr>
          <w:rFonts w:ascii="仿宋_GB2312" w:eastAsia="仿宋_GB2312" w:hAnsi="宋体" w:cs="Times New Roman" w:hint="eastAsia"/>
          <w:sz w:val="28"/>
          <w:szCs w:val="28"/>
        </w:rPr>
        <w:t>孙公司</w:t>
      </w:r>
      <w:proofErr w:type="gramEnd"/>
      <w:r w:rsidRPr="00516ED8">
        <w:rPr>
          <w:rFonts w:ascii="仿宋_GB2312" w:eastAsia="仿宋_GB2312" w:hAnsi="宋体" w:cs="Times New Roman" w:hint="eastAsia"/>
          <w:sz w:val="28"/>
          <w:szCs w:val="28"/>
        </w:rPr>
        <w:t>北京市仁轩图书服务部，分别亏损1.8万元和0.13万元</w:t>
      </w:r>
      <w:r w:rsidRPr="00516ED8">
        <w:rPr>
          <w:rFonts w:ascii="仿宋_GB2312" w:eastAsia="仿宋_GB2312" w:hAnsi="Times New Roman" w:cs="Times New Roman" w:hint="eastAsia"/>
          <w:sz w:val="28"/>
          <w:szCs w:val="28"/>
        </w:rPr>
        <w:t>。</w:t>
      </w:r>
    </w:p>
    <w:p w:rsidR="00516ED8" w:rsidRPr="00516ED8" w:rsidRDefault="00516ED8" w:rsidP="00516ED8">
      <w:pPr>
        <w:ind w:firstLineChars="196" w:firstLine="549"/>
        <w:rPr>
          <w:rFonts w:ascii="仿宋_GB2312" w:eastAsia="仿宋_GB2312" w:hAnsi="宋体" w:cs="Times New Roman"/>
          <w:sz w:val="28"/>
          <w:szCs w:val="28"/>
        </w:rPr>
      </w:pPr>
    </w:p>
    <w:p w:rsidR="00516ED8" w:rsidRPr="00516ED8" w:rsidRDefault="00516ED8" w:rsidP="00516ED8">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lastRenderedPageBreak/>
        <w:t>四、重大事项说明</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1、根据学校整体部署安排，建立以资本为纽带的校办企业国有资产管理体制机制</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按照《教育部关于进一步规范和加强直属高等学校所属企业国有资产管理的若干意见》（</w:t>
      </w:r>
      <w:proofErr w:type="gramStart"/>
      <w:r w:rsidRPr="00516ED8">
        <w:rPr>
          <w:rFonts w:ascii="仿宋_GB2312" w:eastAsia="仿宋_GB2312" w:hAnsi="宋体" w:cs="Times New Roman" w:hint="eastAsia"/>
          <w:sz w:val="28"/>
          <w:szCs w:val="28"/>
        </w:rPr>
        <w:t>教财[</w:t>
      </w:r>
      <w:proofErr w:type="gramEnd"/>
      <w:r w:rsidRPr="00516ED8">
        <w:rPr>
          <w:rFonts w:ascii="仿宋_GB2312" w:eastAsia="仿宋_GB2312" w:hAnsi="宋体" w:cs="Times New Roman" w:hint="eastAsia"/>
          <w:sz w:val="28"/>
          <w:szCs w:val="28"/>
        </w:rPr>
        <w:t>2015]6号）等相关文件要求，根据学校整体部署安排，资产公司于2016年正式与产业管理处拆分，独立运营，建立了事企分开、权责明晰的国有资产管理体制机制，坚持以管资本为主加强所属企业国有资产监管，使资产公司成为校办企业国有资产管理的责任主体。</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2、出台《中国人民大学校办企业负责人薪酬管理方案》，建立校属企业负责人绩效评价和考核体系</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为落实校属经营性资产的保值增值责任，建立有效的激励和约束机制，根据中央和教育部有关文件精神，结合我校校办企业实际情况，资产公司草拟了我校校办企业负责人薪酬管理方案，并于2016年底经学校党委常委会审议通过颁布实施。方案从薪酬结构和水平、考核评价、薪酬支付和管理、福利性待遇、监督管理等方面深化改革，构建了水平适当、结构合理、管理规范、监督有效的校办企业负责人薪酬制度。</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3、组织资产公司及全资子公司会计政策变更工作</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为加强校办企业财务规范管理，统一财务核算原则，根据教育部检查意见，经董事会批准，制定了资产公司及全资子公司《统一会计政策》文件，并将于2017年1月1日起正式执行《企业会计准则》。准则的实施，对于提高企业会计信息质量，推动企业稳健经营，具有十分重要的意义。</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4、资产公司（</w:t>
      </w:r>
      <w:proofErr w:type="gramStart"/>
      <w:r w:rsidRPr="00516ED8">
        <w:rPr>
          <w:rFonts w:ascii="仿宋_GB2312" w:eastAsia="仿宋_GB2312" w:hAnsi="宋体" w:cs="Times New Roman" w:hint="eastAsia"/>
          <w:sz w:val="28"/>
          <w:szCs w:val="28"/>
        </w:rPr>
        <w:t>人大世纪</w:t>
      </w:r>
      <w:proofErr w:type="gramEnd"/>
      <w:r w:rsidRPr="00516ED8">
        <w:rPr>
          <w:rFonts w:ascii="仿宋_GB2312" w:eastAsia="仿宋_GB2312" w:hAnsi="宋体" w:cs="Times New Roman" w:hint="eastAsia"/>
          <w:sz w:val="28"/>
          <w:szCs w:val="28"/>
        </w:rPr>
        <w:t>科技发展有限公司）上交财政部2015年度国</w:t>
      </w:r>
      <w:r w:rsidRPr="00516ED8">
        <w:rPr>
          <w:rFonts w:ascii="仿宋_GB2312" w:eastAsia="仿宋_GB2312" w:hAnsi="宋体" w:cs="Times New Roman" w:hint="eastAsia"/>
          <w:sz w:val="28"/>
          <w:szCs w:val="28"/>
        </w:rPr>
        <w:lastRenderedPageBreak/>
        <w:t>有资本收益827.25万元。</w:t>
      </w:r>
    </w:p>
    <w:p w:rsidR="00516ED8" w:rsidRPr="00516ED8" w:rsidRDefault="00516ED8" w:rsidP="00516ED8">
      <w:pPr>
        <w:ind w:firstLineChars="200" w:firstLine="560"/>
        <w:rPr>
          <w:rFonts w:ascii="仿宋_GB2312" w:eastAsia="仿宋_GB2312" w:hAnsi="宋体" w:cs="Times New Roman"/>
          <w:sz w:val="28"/>
          <w:szCs w:val="28"/>
        </w:rPr>
      </w:pPr>
      <w:bookmarkStart w:id="0" w:name="_GoBack"/>
      <w:bookmarkEnd w:id="0"/>
    </w:p>
    <w:p w:rsidR="00516ED8" w:rsidRPr="00516ED8" w:rsidRDefault="00516ED8" w:rsidP="00516ED8">
      <w:pPr>
        <w:spacing w:line="540" w:lineRule="exact"/>
        <w:ind w:firstLineChars="200" w:firstLine="562"/>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五、决算工作中遇到的问题及建议</w:t>
      </w:r>
    </w:p>
    <w:p w:rsidR="00516ED8" w:rsidRPr="00516ED8" w:rsidRDefault="00516ED8" w:rsidP="00516ED8">
      <w:pPr>
        <w:spacing w:line="580" w:lineRule="exact"/>
        <w:ind w:firstLineChars="201" w:firstLine="563"/>
        <w:rPr>
          <w:rFonts w:ascii="仿宋_GB2312" w:eastAsia="仿宋_GB2312" w:hAnsi="ˎ̥" w:cs="Times New Roman"/>
          <w:sz w:val="28"/>
          <w:szCs w:val="28"/>
        </w:rPr>
      </w:pPr>
      <w:r w:rsidRPr="00516ED8">
        <w:rPr>
          <w:rFonts w:ascii="仿宋_GB2312" w:eastAsia="仿宋_GB2312" w:hAnsi="宋体" w:cs="Times New Roman" w:hint="eastAsia"/>
          <w:kern w:val="0"/>
          <w:sz w:val="28"/>
          <w:szCs w:val="28"/>
        </w:rPr>
        <w:t>总体来讲，本年决算工作均进行的较为顺利，建议进一步细化决算填报说明、更新报表软件中的逻辑关系，从而确保各企业填报数据的完整性、统一性，提高决算工作的质量和效率。我校企业将一如既往的配合上级部门的决算工作，希望上级部门能给予我们更多的指导。</w:t>
      </w:r>
    </w:p>
    <w:p w:rsidR="00CE3B8C" w:rsidRPr="00516ED8" w:rsidRDefault="00CE3B8C" w:rsidP="00B830EC">
      <w:pPr>
        <w:jc w:val="center"/>
        <w:rPr>
          <w:rFonts w:ascii="仿宋_GB2312" w:eastAsia="仿宋_GB2312" w:cs="仿宋_GB2312"/>
          <w:b/>
          <w:bCs/>
          <w:sz w:val="44"/>
          <w:szCs w:val="44"/>
        </w:rPr>
      </w:pPr>
    </w:p>
    <w:sectPr w:rsidR="00CE3B8C" w:rsidRPr="00516ED8" w:rsidSect="00745900">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A3" w:rsidRDefault="00BC58A3" w:rsidP="00E8367F">
      <w:r>
        <w:separator/>
      </w:r>
    </w:p>
  </w:endnote>
  <w:endnote w:type="continuationSeparator" w:id="0">
    <w:p w:rsidR="00BC58A3" w:rsidRDefault="00BC58A3"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A3" w:rsidRDefault="00BC58A3" w:rsidP="00E8367F">
      <w:r>
        <w:separator/>
      </w:r>
    </w:p>
  </w:footnote>
  <w:footnote w:type="continuationSeparator" w:id="0">
    <w:p w:rsidR="00BC58A3" w:rsidRDefault="00BC58A3" w:rsidP="00E8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F"/>
    <w:rsid w:val="00005DB8"/>
    <w:rsid w:val="00042743"/>
    <w:rsid w:val="000C26F7"/>
    <w:rsid w:val="00156D58"/>
    <w:rsid w:val="00161278"/>
    <w:rsid w:val="00163F7E"/>
    <w:rsid w:val="00165D79"/>
    <w:rsid w:val="00170F3D"/>
    <w:rsid w:val="00173C62"/>
    <w:rsid w:val="001A549B"/>
    <w:rsid w:val="001B0D45"/>
    <w:rsid w:val="001D24D7"/>
    <w:rsid w:val="001D67BA"/>
    <w:rsid w:val="00245FA1"/>
    <w:rsid w:val="002B7AB5"/>
    <w:rsid w:val="002E490C"/>
    <w:rsid w:val="00310920"/>
    <w:rsid w:val="00315404"/>
    <w:rsid w:val="00364D79"/>
    <w:rsid w:val="00372CC7"/>
    <w:rsid w:val="00385802"/>
    <w:rsid w:val="00386473"/>
    <w:rsid w:val="003A1B2A"/>
    <w:rsid w:val="003C0412"/>
    <w:rsid w:val="003C0DA6"/>
    <w:rsid w:val="003D4B9C"/>
    <w:rsid w:val="00416B35"/>
    <w:rsid w:val="0046522B"/>
    <w:rsid w:val="004739DF"/>
    <w:rsid w:val="0051087D"/>
    <w:rsid w:val="00516ED8"/>
    <w:rsid w:val="00522C05"/>
    <w:rsid w:val="00540A88"/>
    <w:rsid w:val="00570826"/>
    <w:rsid w:val="00584084"/>
    <w:rsid w:val="0062345B"/>
    <w:rsid w:val="00636B07"/>
    <w:rsid w:val="00695524"/>
    <w:rsid w:val="006A5C3E"/>
    <w:rsid w:val="006A631D"/>
    <w:rsid w:val="006D4381"/>
    <w:rsid w:val="006F0FCC"/>
    <w:rsid w:val="00701577"/>
    <w:rsid w:val="0071503A"/>
    <w:rsid w:val="00745900"/>
    <w:rsid w:val="00767CCD"/>
    <w:rsid w:val="00773C1A"/>
    <w:rsid w:val="007F5E20"/>
    <w:rsid w:val="00823BF6"/>
    <w:rsid w:val="008245B0"/>
    <w:rsid w:val="0089244D"/>
    <w:rsid w:val="008939D2"/>
    <w:rsid w:val="00897638"/>
    <w:rsid w:val="008E5755"/>
    <w:rsid w:val="00973E84"/>
    <w:rsid w:val="009C049B"/>
    <w:rsid w:val="009F2350"/>
    <w:rsid w:val="00A46F49"/>
    <w:rsid w:val="00A965D3"/>
    <w:rsid w:val="00AA617B"/>
    <w:rsid w:val="00B372BF"/>
    <w:rsid w:val="00B6730E"/>
    <w:rsid w:val="00B830EC"/>
    <w:rsid w:val="00BC58A3"/>
    <w:rsid w:val="00BE0917"/>
    <w:rsid w:val="00C306CF"/>
    <w:rsid w:val="00C37851"/>
    <w:rsid w:val="00C60B40"/>
    <w:rsid w:val="00C81572"/>
    <w:rsid w:val="00C84D5A"/>
    <w:rsid w:val="00C95BED"/>
    <w:rsid w:val="00CE3B8C"/>
    <w:rsid w:val="00D306A0"/>
    <w:rsid w:val="00D44C51"/>
    <w:rsid w:val="00D56E29"/>
    <w:rsid w:val="00D64E70"/>
    <w:rsid w:val="00DC467D"/>
    <w:rsid w:val="00DC670E"/>
    <w:rsid w:val="00DF016C"/>
    <w:rsid w:val="00E068C0"/>
    <w:rsid w:val="00E17DFA"/>
    <w:rsid w:val="00E220E8"/>
    <w:rsid w:val="00E34A1A"/>
    <w:rsid w:val="00E71247"/>
    <w:rsid w:val="00E74988"/>
    <w:rsid w:val="00E8101F"/>
    <w:rsid w:val="00E815A1"/>
    <w:rsid w:val="00E8367F"/>
    <w:rsid w:val="00EB1C25"/>
    <w:rsid w:val="00EF40BD"/>
    <w:rsid w:val="00F2136B"/>
    <w:rsid w:val="00F456A2"/>
    <w:rsid w:val="00F546A5"/>
    <w:rsid w:val="00FB460E"/>
    <w:rsid w:val="00FE40C7"/>
    <w:rsid w:val="00FE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wxh</cp:lastModifiedBy>
  <cp:revision>4</cp:revision>
  <cp:lastPrinted>2017-04-07T07:54:00Z</cp:lastPrinted>
  <dcterms:created xsi:type="dcterms:W3CDTF">2018-10-17T09:49:00Z</dcterms:created>
  <dcterms:modified xsi:type="dcterms:W3CDTF">2018-10-17T09:49:00Z</dcterms:modified>
</cp:coreProperties>
</file>